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731" w:rsidRDefault="00B87695" w:rsidP="00BE1FD4">
      <w:pPr>
        <w:rPr>
          <w:rFonts w:ascii="Arial" w:hAnsi="Arial" w:cs="Arial"/>
          <w:b/>
        </w:rPr>
      </w:pPr>
      <w:r>
        <w:rPr>
          <w:rFonts w:ascii="Arial" w:hAnsi="Arial" w:cs="Arial"/>
          <w:b/>
        </w:rPr>
        <w:t xml:space="preserve">Complete this form to record details of all </w:t>
      </w:r>
      <w:r w:rsidR="00AC5899">
        <w:rPr>
          <w:rFonts w:ascii="Arial" w:hAnsi="Arial" w:cs="Arial"/>
          <w:b/>
        </w:rPr>
        <w:t>d</w:t>
      </w:r>
      <w:r>
        <w:rPr>
          <w:rFonts w:ascii="Arial" w:hAnsi="Arial" w:cs="Arial"/>
          <w:b/>
        </w:rPr>
        <w:t>ec</w:t>
      </w:r>
      <w:r w:rsidR="003505E0">
        <w:rPr>
          <w:rFonts w:ascii="Arial" w:hAnsi="Arial" w:cs="Arial"/>
          <w:b/>
        </w:rPr>
        <w:t>i</w:t>
      </w:r>
      <w:r>
        <w:rPr>
          <w:rFonts w:ascii="Arial" w:hAnsi="Arial" w:cs="Arial"/>
          <w:b/>
        </w:rPr>
        <w:t xml:space="preserve">sions </w:t>
      </w:r>
      <w:r w:rsidR="002A07C9">
        <w:rPr>
          <w:rFonts w:ascii="Arial" w:hAnsi="Arial" w:cs="Arial"/>
          <w:b/>
        </w:rPr>
        <w:t>made</w:t>
      </w:r>
      <w:r>
        <w:rPr>
          <w:rFonts w:ascii="Arial" w:hAnsi="Arial" w:cs="Arial"/>
          <w:b/>
        </w:rPr>
        <w:t xml:space="preserve"> by officers acting under delegated powers.</w:t>
      </w:r>
      <w:r w:rsidR="00986C99">
        <w:rPr>
          <w:rFonts w:ascii="Arial" w:hAnsi="Arial" w:cs="Arial"/>
          <w:b/>
        </w:rPr>
        <w:t xml:space="preserve"> S</w:t>
      </w:r>
      <w:r w:rsidR="00986C99" w:rsidRPr="00F11FD1">
        <w:rPr>
          <w:rFonts w:ascii="Arial" w:hAnsi="Arial" w:cs="Arial"/>
          <w:b/>
        </w:rPr>
        <w:t xml:space="preserve">end </w:t>
      </w:r>
      <w:r w:rsidR="00986C99">
        <w:rPr>
          <w:rFonts w:ascii="Arial" w:hAnsi="Arial" w:cs="Arial"/>
          <w:b/>
        </w:rPr>
        <w:t xml:space="preserve">the </w:t>
      </w:r>
      <w:r w:rsidR="00986C99" w:rsidRPr="00F11FD1">
        <w:rPr>
          <w:rFonts w:ascii="Arial" w:hAnsi="Arial" w:cs="Arial"/>
          <w:b/>
        </w:rPr>
        <w:t xml:space="preserve">completed form to </w:t>
      </w:r>
      <w:hyperlink r:id="rId8" w:history="1">
        <w:r w:rsidR="0005774E" w:rsidRPr="009345FC">
          <w:rPr>
            <w:rStyle w:val="Hyperlink"/>
            <w:rFonts w:ascii="Arial" w:hAnsi="Arial" w:cs="Arial"/>
            <w:b/>
          </w:rPr>
          <w:t>forwardplan@oxford.gov.uk</w:t>
        </w:r>
      </w:hyperlink>
    </w:p>
    <w:p w:rsidR="006F6326" w:rsidRDefault="006F6326" w:rsidP="008A22C6"/>
    <w:tbl>
      <w:tblPr>
        <w:tblStyle w:val="TableGrid"/>
        <w:tblW w:w="9924" w:type="dxa"/>
        <w:tblInd w:w="-318" w:type="dxa"/>
        <w:tblLook w:val="04A0" w:firstRow="1" w:lastRow="0" w:firstColumn="1" w:lastColumn="0" w:noHBand="0" w:noVBand="1"/>
      </w:tblPr>
      <w:tblGrid>
        <w:gridCol w:w="3113"/>
        <w:gridCol w:w="6811"/>
      </w:tblGrid>
      <w:tr w:rsidR="006F6326" w:rsidTr="008E4629">
        <w:tc>
          <w:tcPr>
            <w:tcW w:w="4962"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4962" w:type="dxa"/>
          </w:tcPr>
          <w:p w:rsidR="00B87695" w:rsidRPr="00A96C08" w:rsidRDefault="00595412" w:rsidP="005A0076">
            <w:pPr>
              <w:rPr>
                <w:rFonts w:ascii="Arial" w:hAnsi="Arial" w:cs="Arial"/>
              </w:rPr>
            </w:pPr>
            <w:r>
              <w:rPr>
                <w:rFonts w:ascii="Arial" w:hAnsi="Arial" w:cs="Arial"/>
              </w:rPr>
              <w:t>Decision to award the contract for the supply of non-household water and wastewater services at Oxford City Council sites for an initial three year period</w:t>
            </w:r>
            <w:r w:rsidR="005A0076">
              <w:rPr>
                <w:rFonts w:ascii="Arial" w:hAnsi="Arial" w:cs="Arial"/>
              </w:rPr>
              <w:t xml:space="preserve"> from 2020.</w:t>
            </w:r>
          </w:p>
        </w:tc>
      </w:tr>
      <w:tr w:rsidR="006F6326" w:rsidTr="008E4629">
        <w:tc>
          <w:tcPr>
            <w:tcW w:w="4962"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4962" w:type="dxa"/>
          </w:tcPr>
          <w:p w:rsidR="00263039" w:rsidRPr="00A96C08" w:rsidRDefault="00BF353B" w:rsidP="008A22C6">
            <w:pPr>
              <w:rPr>
                <w:rFonts w:ascii="Arial" w:hAnsi="Arial" w:cs="Arial"/>
              </w:rPr>
            </w:pPr>
            <w:r w:rsidRPr="00BF353B">
              <w:rPr>
                <w:rFonts w:ascii="Arial" w:hAnsi="Arial" w:cs="Arial"/>
              </w:rPr>
              <w:t>28 April 2021</w:t>
            </w:r>
          </w:p>
        </w:tc>
      </w:tr>
      <w:tr w:rsidR="00854133" w:rsidTr="008E4629">
        <w:tc>
          <w:tcPr>
            <w:tcW w:w="4962" w:type="dxa"/>
          </w:tcPr>
          <w:p w:rsidR="00854133" w:rsidRPr="00854133" w:rsidRDefault="00854133" w:rsidP="002611EB">
            <w:pPr>
              <w:spacing w:before="120" w:after="120"/>
              <w:rPr>
                <w:rFonts w:ascii="Arial" w:hAnsi="Arial" w:cs="Arial"/>
              </w:rPr>
            </w:pPr>
            <w:r>
              <w:rPr>
                <w:rFonts w:ascii="Arial" w:hAnsi="Arial" w:cs="Arial"/>
                <w:b/>
              </w:rPr>
              <w:t xml:space="preserve">Source of delegation: </w:t>
            </w:r>
            <w:r>
              <w:rPr>
                <w:rFonts w:ascii="Arial" w:hAnsi="Arial" w:cs="Arial"/>
              </w:rPr>
              <w:t xml:space="preserve">State </w:t>
            </w:r>
            <w:r w:rsidR="008E4629">
              <w:rPr>
                <w:rFonts w:ascii="Arial" w:hAnsi="Arial" w:cs="Arial"/>
              </w:rPr>
              <w:t>how the decision was delegated.</w:t>
            </w:r>
            <w:r>
              <w:rPr>
                <w:rFonts w:ascii="Arial" w:hAnsi="Arial" w:cs="Arial"/>
              </w:rPr>
              <w:t xml:space="preserve"> Was it an express delegation made at a meeting or a general delegation under the Council’s Constitution? </w:t>
            </w:r>
          </w:p>
        </w:tc>
        <w:tc>
          <w:tcPr>
            <w:tcW w:w="4962" w:type="dxa"/>
          </w:tcPr>
          <w:p w:rsidR="004A049B" w:rsidRPr="00E20A54" w:rsidRDefault="00595412" w:rsidP="004A049B">
            <w:pPr>
              <w:rPr>
                <w:rFonts w:ascii="Arial" w:hAnsi="Arial" w:cs="Arial"/>
              </w:rPr>
            </w:pPr>
            <w:r w:rsidRPr="00595412">
              <w:rPr>
                <w:rFonts w:ascii="Arial" w:hAnsi="Arial" w:cs="Arial"/>
              </w:rPr>
              <w:t xml:space="preserve">The approved council cabinet paper </w:t>
            </w:r>
            <w:r w:rsidRPr="00595412">
              <w:rPr>
                <w:rFonts w:ascii="Arial" w:hAnsi="Arial" w:cs="Arial"/>
                <w:i/>
              </w:rPr>
              <w:t>Becoming a net zero council in terms of greenhouse gas emissions: Energy &amp; Water Supply procurement 2020 to 2024</w:t>
            </w:r>
            <w:r w:rsidRPr="00595412">
              <w:rPr>
                <w:rFonts w:ascii="Arial" w:hAnsi="Arial" w:cs="Arial"/>
              </w:rPr>
              <w:t xml:space="preserve"> dated 22 January 2020 includes the recommendation (item 3) to approve the use of the Kent County Council energy procurement framework via its trading arm LASER </w:t>
            </w:r>
            <w:r w:rsidR="0063573D">
              <w:rPr>
                <w:rFonts w:ascii="Arial" w:hAnsi="Arial" w:cs="Arial"/>
              </w:rPr>
              <w:t xml:space="preserve">Energy </w:t>
            </w:r>
            <w:r w:rsidRPr="00595412">
              <w:rPr>
                <w:rFonts w:ascii="Arial" w:hAnsi="Arial" w:cs="Arial"/>
              </w:rPr>
              <w:t>(the specialist public sector energy buying organisation) for up to a further four years (2020-2024) to procure the Council’s energy and water contracts from October 2020.</w:t>
            </w:r>
          </w:p>
        </w:tc>
      </w:tr>
      <w:tr w:rsidR="00B87695" w:rsidTr="008E4629">
        <w:tc>
          <w:tcPr>
            <w:tcW w:w="4962" w:type="dxa"/>
          </w:tcPr>
          <w:p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r w:rsidRPr="00F11FD1">
              <w:rPr>
                <w:rFonts w:ascii="Arial" w:hAnsi="Arial" w:cs="Arial"/>
              </w:rPr>
              <w:t>Explain briefly</w:t>
            </w:r>
            <w:r>
              <w:rPr>
                <w:rFonts w:ascii="Arial" w:hAnsi="Arial" w:cs="Arial"/>
              </w:rPr>
              <w:t xml:space="preserve"> – include financial details of any income or expenditure relating directly to this decision.  </w:t>
            </w:r>
            <w:r w:rsidRPr="000173BF">
              <w:rPr>
                <w:rFonts w:ascii="Arial" w:hAnsi="Arial" w:cs="Arial"/>
              </w:rPr>
              <w:t>Please indicate whether information is exempt / confidential.</w:t>
            </w:r>
          </w:p>
        </w:tc>
        <w:tc>
          <w:tcPr>
            <w:tcW w:w="4962" w:type="dxa"/>
          </w:tcPr>
          <w:p w:rsidR="006247C4" w:rsidRDefault="005A0076" w:rsidP="00CB5E4F">
            <w:pPr>
              <w:rPr>
                <w:rFonts w:ascii="Arial" w:hAnsi="Arial" w:cs="Arial"/>
              </w:rPr>
            </w:pPr>
            <w:r>
              <w:rPr>
                <w:rFonts w:ascii="Arial" w:hAnsi="Arial" w:cs="Arial"/>
              </w:rPr>
              <w:t xml:space="preserve">Award the contract to Wave Utilities for the supply of non-household water and wastewater services </w:t>
            </w:r>
            <w:r w:rsidR="0063573D">
              <w:rPr>
                <w:rFonts w:ascii="Arial" w:hAnsi="Arial" w:cs="Arial"/>
              </w:rPr>
              <w:t xml:space="preserve">at Oxford City Council </w:t>
            </w:r>
            <w:r>
              <w:rPr>
                <w:rFonts w:ascii="Arial" w:hAnsi="Arial" w:cs="Arial"/>
              </w:rPr>
              <w:t>sites for an initial three year period from 2020 with the possibility of a two year contract extension.</w:t>
            </w:r>
          </w:p>
          <w:p w:rsidR="00AA2BA0" w:rsidRDefault="00AA2BA0" w:rsidP="00CB5E4F">
            <w:pPr>
              <w:rPr>
                <w:rFonts w:ascii="Arial" w:hAnsi="Arial" w:cs="Arial"/>
              </w:rPr>
            </w:pPr>
          </w:p>
          <w:p w:rsidR="00AA2BA0" w:rsidRPr="00A96C08" w:rsidRDefault="00AA2BA0" w:rsidP="00CB5E4F">
            <w:pPr>
              <w:rPr>
                <w:rFonts w:ascii="Arial" w:hAnsi="Arial" w:cs="Arial"/>
              </w:rPr>
            </w:pPr>
            <w:r w:rsidRPr="005A0076">
              <w:rPr>
                <w:rFonts w:ascii="Arial" w:hAnsi="Arial" w:cs="Arial"/>
              </w:rPr>
              <w:t xml:space="preserve">Annual spend on the council’s non-household water and wastewater services in the 2019-20 financial year was £165,000.  This figure does not include the water and wastewater spend at the council’s five leisure sites as these costs are covered by Fusion Lifestyle under the terms of the management agreement.  It also does not include the water and wastewater costs for the council’s temporary </w:t>
            </w:r>
            <w:r w:rsidRPr="005A0076">
              <w:rPr>
                <w:rFonts w:ascii="Arial" w:hAnsi="Arial" w:cs="Arial"/>
              </w:rPr>
              <w:lastRenderedPageBreak/>
              <w:t>accommodation properties as these are deemed to be household supplies and so supplied by the existing regional monopoly provider (Thames Water).</w:t>
            </w:r>
          </w:p>
        </w:tc>
      </w:tr>
      <w:tr w:rsidR="00373F5D" w:rsidTr="008E4629">
        <w:tc>
          <w:tcPr>
            <w:tcW w:w="4962" w:type="dxa"/>
          </w:tcPr>
          <w:p w:rsidR="00373F5D" w:rsidRPr="00373F5D" w:rsidRDefault="00373F5D" w:rsidP="00C678ED">
            <w:pPr>
              <w:spacing w:before="120" w:after="120"/>
              <w:rPr>
                <w:rFonts w:ascii="Arial" w:hAnsi="Arial" w:cs="Arial"/>
              </w:rPr>
            </w:pPr>
            <w:r>
              <w:rPr>
                <w:rFonts w:ascii="Arial" w:hAnsi="Arial" w:cs="Arial"/>
                <w:b/>
              </w:rPr>
              <w:lastRenderedPageBreak/>
              <w:t xml:space="preserve">Purpose: </w:t>
            </w:r>
            <w:r>
              <w:rPr>
                <w:rFonts w:ascii="Arial" w:hAnsi="Arial" w:cs="Arial"/>
              </w:rPr>
              <w:t>What does the decision deliver or achieve?</w:t>
            </w:r>
          </w:p>
        </w:tc>
        <w:tc>
          <w:tcPr>
            <w:tcW w:w="4962" w:type="dxa"/>
          </w:tcPr>
          <w:p w:rsidR="005A0076" w:rsidRDefault="00595412" w:rsidP="00CB5E4F">
            <w:pPr>
              <w:rPr>
                <w:rFonts w:ascii="Arial" w:hAnsi="Arial" w:cs="Arial"/>
              </w:rPr>
            </w:pPr>
            <w:r w:rsidRPr="00595412">
              <w:rPr>
                <w:rFonts w:ascii="Arial" w:hAnsi="Arial" w:cs="Arial"/>
              </w:rPr>
              <w:t>In April 2017, the non-household water supply market opened up for businesses, charities and public sector organisations in England meaning they are no longer restricted to buying water from their regional monopoly.</w:t>
            </w:r>
            <w:r w:rsidR="006F200C">
              <w:rPr>
                <w:rFonts w:ascii="Arial" w:hAnsi="Arial" w:cs="Arial"/>
              </w:rPr>
              <w:t xml:space="preserve">  Thames Water had exited the non-household market ahead of this opening up and transferred their non-household customer base over to Castle Water.</w:t>
            </w:r>
            <w:r>
              <w:rPr>
                <w:rFonts w:ascii="Arial" w:hAnsi="Arial" w:cs="Arial"/>
              </w:rPr>
              <w:t xml:space="preserve">  </w:t>
            </w:r>
          </w:p>
          <w:p w:rsidR="00AA2BA0" w:rsidRDefault="00AA2BA0" w:rsidP="00CB5E4F">
            <w:pPr>
              <w:rPr>
                <w:rFonts w:ascii="Arial" w:hAnsi="Arial" w:cs="Arial"/>
              </w:rPr>
            </w:pPr>
          </w:p>
          <w:p w:rsidR="00373F5D" w:rsidRPr="00A96C08" w:rsidRDefault="00595412" w:rsidP="002579D2">
            <w:pPr>
              <w:rPr>
                <w:rFonts w:ascii="Arial" w:hAnsi="Arial" w:cs="Arial"/>
              </w:rPr>
            </w:pPr>
            <w:r>
              <w:rPr>
                <w:rFonts w:ascii="Arial" w:hAnsi="Arial" w:cs="Arial"/>
              </w:rPr>
              <w:t xml:space="preserve">Contracting with a retailer means the council can secure </w:t>
            </w:r>
            <w:r w:rsidR="005A0076">
              <w:rPr>
                <w:rFonts w:ascii="Arial" w:hAnsi="Arial" w:cs="Arial"/>
              </w:rPr>
              <w:t xml:space="preserve">value for money on the purchase of </w:t>
            </w:r>
            <w:r w:rsidR="002579D2">
              <w:rPr>
                <w:rFonts w:ascii="Arial" w:hAnsi="Arial" w:cs="Arial"/>
              </w:rPr>
              <w:t xml:space="preserve">non-household </w:t>
            </w:r>
            <w:r w:rsidR="005A0076">
              <w:rPr>
                <w:rFonts w:ascii="Arial" w:hAnsi="Arial" w:cs="Arial"/>
              </w:rPr>
              <w:t xml:space="preserve">water and wastewater services, whilst minimising the administrative burden through electronic billing </w:t>
            </w:r>
            <w:r w:rsidR="002579D2">
              <w:rPr>
                <w:rFonts w:ascii="Arial" w:hAnsi="Arial" w:cs="Arial"/>
              </w:rPr>
              <w:t>capability</w:t>
            </w:r>
            <w:r w:rsidR="005A0076">
              <w:rPr>
                <w:rFonts w:ascii="Arial" w:hAnsi="Arial" w:cs="Arial"/>
              </w:rPr>
              <w:t xml:space="preserve"> along with collaborative work to reduce the council’s water footprint.</w:t>
            </w:r>
          </w:p>
        </w:tc>
      </w:tr>
      <w:tr w:rsidR="00DC2E8D" w:rsidTr="008E4629">
        <w:tc>
          <w:tcPr>
            <w:tcW w:w="4962" w:type="dxa"/>
          </w:tcPr>
          <w:p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r>
              <w:rPr>
                <w:rFonts w:ascii="Arial" w:hAnsi="Arial" w:cs="Arial"/>
              </w:rPr>
              <w:t>Please provide the reasons for the decision.</w:t>
            </w:r>
          </w:p>
        </w:tc>
        <w:tc>
          <w:tcPr>
            <w:tcW w:w="4962" w:type="dxa"/>
          </w:tcPr>
          <w:p w:rsidR="002579D2" w:rsidRPr="002579D2" w:rsidRDefault="002579D2" w:rsidP="002579D2">
            <w:pPr>
              <w:rPr>
                <w:rFonts w:ascii="Arial" w:hAnsi="Arial" w:cs="Arial"/>
              </w:rPr>
            </w:pPr>
            <w:bookmarkStart w:id="0" w:name="_GoBack"/>
            <w:r w:rsidRPr="002579D2">
              <w:rPr>
                <w:rFonts w:ascii="Arial" w:hAnsi="Arial" w:cs="Arial"/>
              </w:rPr>
              <w:t xml:space="preserve">LASER </w:t>
            </w:r>
            <w:r w:rsidR="002E01CA">
              <w:rPr>
                <w:rFonts w:ascii="Arial" w:hAnsi="Arial" w:cs="Arial"/>
              </w:rPr>
              <w:t xml:space="preserve">Energy </w:t>
            </w:r>
            <w:r w:rsidRPr="002579D2">
              <w:rPr>
                <w:rFonts w:ascii="Arial" w:hAnsi="Arial" w:cs="Arial"/>
              </w:rPr>
              <w:t>has established an OJEU-compliant framework agreement for the supply of water, wastewater and additional services. The framework is available for all areas of England and accessible by all public sector bodies. With seven suppliers included in the framework, every mini-tender run will give customers the maximum choice of supplier. In addition, LASER</w:t>
            </w:r>
            <w:r w:rsidR="002E01CA">
              <w:rPr>
                <w:rFonts w:ascii="Arial" w:hAnsi="Arial" w:cs="Arial"/>
              </w:rPr>
              <w:t xml:space="preserve"> Energy</w:t>
            </w:r>
            <w:r w:rsidRPr="002579D2">
              <w:rPr>
                <w:rFonts w:ascii="Arial" w:hAnsi="Arial" w:cs="Arial"/>
              </w:rPr>
              <w:t>’s well considered scoring criteria are designed to fairly evaluate price, customer service and added value services to identify which offer truly gives best value.</w:t>
            </w:r>
          </w:p>
          <w:bookmarkEnd w:id="0"/>
          <w:p w:rsidR="002579D2" w:rsidRPr="002579D2" w:rsidRDefault="002579D2" w:rsidP="002579D2">
            <w:pPr>
              <w:rPr>
                <w:rFonts w:ascii="Arial" w:hAnsi="Arial" w:cs="Arial"/>
              </w:rPr>
            </w:pPr>
          </w:p>
          <w:p w:rsidR="002579D2" w:rsidRPr="002579D2" w:rsidRDefault="002579D2" w:rsidP="002579D2">
            <w:pPr>
              <w:rPr>
                <w:rFonts w:ascii="Arial" w:hAnsi="Arial" w:cs="Arial"/>
              </w:rPr>
            </w:pPr>
            <w:r w:rsidRPr="002579D2">
              <w:rPr>
                <w:rFonts w:ascii="Arial" w:hAnsi="Arial" w:cs="Arial"/>
              </w:rPr>
              <w:t>Framework Period: 26th Apr 2017 – 25th Apr 2021 [extended to 3rd Jun 2022]</w:t>
            </w:r>
          </w:p>
          <w:p w:rsidR="002579D2" w:rsidRPr="002579D2" w:rsidRDefault="002579D2" w:rsidP="002579D2">
            <w:pPr>
              <w:rPr>
                <w:rFonts w:ascii="Arial" w:hAnsi="Arial" w:cs="Arial"/>
              </w:rPr>
            </w:pPr>
            <w:r w:rsidRPr="002579D2">
              <w:rPr>
                <w:rFonts w:ascii="Arial" w:hAnsi="Arial" w:cs="Arial"/>
              </w:rPr>
              <w:t>Framework Number: Y16045</w:t>
            </w:r>
          </w:p>
          <w:p w:rsidR="002579D2" w:rsidRPr="002579D2" w:rsidRDefault="002579D2" w:rsidP="002579D2">
            <w:pPr>
              <w:rPr>
                <w:rFonts w:ascii="Arial" w:hAnsi="Arial" w:cs="Arial"/>
              </w:rPr>
            </w:pPr>
            <w:r w:rsidRPr="002579D2">
              <w:rPr>
                <w:rFonts w:ascii="Arial" w:hAnsi="Arial" w:cs="Arial"/>
              </w:rPr>
              <w:t>Contract Arranged by: LASER Energy</w:t>
            </w:r>
          </w:p>
          <w:p w:rsidR="002579D2" w:rsidRPr="002579D2" w:rsidRDefault="002579D2" w:rsidP="002579D2">
            <w:pPr>
              <w:rPr>
                <w:rFonts w:ascii="Arial" w:hAnsi="Arial" w:cs="Arial"/>
              </w:rPr>
            </w:pPr>
            <w:r w:rsidRPr="002579D2">
              <w:rPr>
                <w:rFonts w:ascii="Arial" w:hAnsi="Arial" w:cs="Arial"/>
              </w:rPr>
              <w:t>OJEU Award Notice: 2017/S132-269790</w:t>
            </w:r>
          </w:p>
          <w:p w:rsidR="002579D2" w:rsidRPr="002579D2" w:rsidRDefault="002579D2" w:rsidP="002579D2">
            <w:pPr>
              <w:rPr>
                <w:rFonts w:ascii="Arial" w:hAnsi="Arial" w:cs="Arial"/>
              </w:rPr>
            </w:pPr>
          </w:p>
          <w:p w:rsidR="002579D2" w:rsidRPr="002579D2" w:rsidRDefault="002579D2" w:rsidP="002579D2">
            <w:pPr>
              <w:rPr>
                <w:rFonts w:ascii="Arial" w:hAnsi="Arial" w:cs="Arial"/>
              </w:rPr>
            </w:pPr>
            <w:r w:rsidRPr="002579D2">
              <w:rPr>
                <w:rFonts w:ascii="Arial" w:hAnsi="Arial" w:cs="Arial"/>
              </w:rPr>
              <w:t>Suppliers on the LASER Framework are:</w:t>
            </w:r>
          </w:p>
          <w:p w:rsidR="002579D2" w:rsidRPr="002579D2" w:rsidRDefault="002579D2" w:rsidP="002579D2">
            <w:pPr>
              <w:rPr>
                <w:rFonts w:ascii="Arial" w:hAnsi="Arial" w:cs="Arial"/>
              </w:rPr>
            </w:pPr>
          </w:p>
          <w:p w:rsidR="002579D2" w:rsidRDefault="002579D2" w:rsidP="002579D2">
            <w:pPr>
              <w:rPr>
                <w:rFonts w:ascii="Arial" w:hAnsi="Arial" w:cs="Arial"/>
              </w:rPr>
            </w:pPr>
            <w:r w:rsidRPr="002579D2">
              <w:rPr>
                <w:rFonts w:ascii="Arial" w:hAnsi="Arial" w:cs="Arial"/>
              </w:rPr>
              <w:t>1.</w:t>
            </w:r>
            <w:r w:rsidRPr="002579D2">
              <w:rPr>
                <w:rFonts w:ascii="Arial" w:hAnsi="Arial" w:cs="Arial"/>
              </w:rPr>
              <w:tab/>
              <w:t xml:space="preserve">ADSM </w:t>
            </w:r>
          </w:p>
          <w:p w:rsidR="002579D2" w:rsidRPr="002579D2" w:rsidRDefault="002579D2" w:rsidP="002579D2">
            <w:pPr>
              <w:rPr>
                <w:rFonts w:ascii="Arial" w:hAnsi="Arial" w:cs="Arial"/>
              </w:rPr>
            </w:pPr>
            <w:r w:rsidRPr="002579D2">
              <w:rPr>
                <w:rFonts w:ascii="Arial" w:hAnsi="Arial" w:cs="Arial"/>
              </w:rPr>
              <w:t>2.</w:t>
            </w:r>
            <w:r w:rsidRPr="002579D2">
              <w:rPr>
                <w:rFonts w:ascii="Arial" w:hAnsi="Arial" w:cs="Arial"/>
              </w:rPr>
              <w:tab/>
              <w:t xml:space="preserve">Affinity Water </w:t>
            </w:r>
          </w:p>
          <w:p w:rsidR="002579D2" w:rsidRDefault="002579D2" w:rsidP="002579D2">
            <w:pPr>
              <w:rPr>
                <w:rFonts w:ascii="Arial" w:hAnsi="Arial" w:cs="Arial"/>
              </w:rPr>
            </w:pPr>
            <w:r w:rsidRPr="002579D2">
              <w:rPr>
                <w:rFonts w:ascii="Arial" w:hAnsi="Arial" w:cs="Arial"/>
              </w:rPr>
              <w:t>3.</w:t>
            </w:r>
            <w:r w:rsidRPr="002579D2">
              <w:rPr>
                <w:rFonts w:ascii="Arial" w:hAnsi="Arial" w:cs="Arial"/>
              </w:rPr>
              <w:tab/>
              <w:t xml:space="preserve">Wave Utilities </w:t>
            </w:r>
          </w:p>
          <w:p w:rsidR="002579D2" w:rsidRPr="002579D2" w:rsidRDefault="002579D2" w:rsidP="002579D2">
            <w:pPr>
              <w:rPr>
                <w:rFonts w:ascii="Arial" w:hAnsi="Arial" w:cs="Arial"/>
              </w:rPr>
            </w:pPr>
            <w:r>
              <w:rPr>
                <w:rFonts w:ascii="Arial" w:hAnsi="Arial" w:cs="Arial"/>
              </w:rPr>
              <w:t>4.</w:t>
            </w:r>
            <w:r>
              <w:rPr>
                <w:rFonts w:ascii="Arial" w:hAnsi="Arial" w:cs="Arial"/>
              </w:rPr>
              <w:tab/>
              <w:t>Business Stream</w:t>
            </w:r>
          </w:p>
          <w:p w:rsidR="002579D2" w:rsidRPr="002579D2" w:rsidRDefault="002579D2" w:rsidP="002579D2">
            <w:pPr>
              <w:rPr>
                <w:rFonts w:ascii="Arial" w:hAnsi="Arial" w:cs="Arial"/>
              </w:rPr>
            </w:pPr>
            <w:r w:rsidRPr="002579D2">
              <w:rPr>
                <w:rFonts w:ascii="Arial" w:hAnsi="Arial" w:cs="Arial"/>
              </w:rPr>
              <w:t>5.</w:t>
            </w:r>
            <w:r w:rsidRPr="002579D2">
              <w:rPr>
                <w:rFonts w:ascii="Arial" w:hAnsi="Arial" w:cs="Arial"/>
              </w:rPr>
              <w:tab/>
              <w:t xml:space="preserve">Castle Water </w:t>
            </w:r>
          </w:p>
          <w:p w:rsidR="002579D2" w:rsidRPr="002579D2" w:rsidRDefault="002579D2" w:rsidP="002579D2">
            <w:pPr>
              <w:rPr>
                <w:rFonts w:ascii="Arial" w:hAnsi="Arial" w:cs="Arial"/>
              </w:rPr>
            </w:pPr>
            <w:r>
              <w:rPr>
                <w:rFonts w:ascii="Arial" w:hAnsi="Arial" w:cs="Arial"/>
              </w:rPr>
              <w:t>6.</w:t>
            </w:r>
            <w:r>
              <w:rPr>
                <w:rFonts w:ascii="Arial" w:hAnsi="Arial" w:cs="Arial"/>
              </w:rPr>
              <w:tab/>
              <w:t>NWG</w:t>
            </w:r>
          </w:p>
          <w:p w:rsidR="002579D2" w:rsidRDefault="002579D2" w:rsidP="002579D2">
            <w:pPr>
              <w:rPr>
                <w:rFonts w:ascii="Arial" w:hAnsi="Arial" w:cs="Arial"/>
              </w:rPr>
            </w:pPr>
            <w:r w:rsidRPr="002579D2">
              <w:rPr>
                <w:rFonts w:ascii="Arial" w:hAnsi="Arial" w:cs="Arial"/>
              </w:rPr>
              <w:t>7.</w:t>
            </w:r>
            <w:r w:rsidRPr="002579D2">
              <w:rPr>
                <w:rFonts w:ascii="Arial" w:hAnsi="Arial" w:cs="Arial"/>
              </w:rPr>
              <w:tab/>
              <w:t>Water Plus</w:t>
            </w:r>
          </w:p>
          <w:p w:rsidR="002579D2" w:rsidRDefault="002579D2" w:rsidP="002579D2">
            <w:pPr>
              <w:rPr>
                <w:rFonts w:ascii="Arial" w:hAnsi="Arial" w:cs="Arial"/>
              </w:rPr>
            </w:pPr>
          </w:p>
          <w:p w:rsidR="002579D2" w:rsidRPr="002579D2" w:rsidRDefault="002579D2" w:rsidP="002579D2">
            <w:pPr>
              <w:rPr>
                <w:rFonts w:ascii="Arial" w:hAnsi="Arial" w:cs="Arial"/>
              </w:rPr>
            </w:pPr>
            <w:r w:rsidRPr="002579D2">
              <w:rPr>
                <w:rFonts w:ascii="Arial" w:hAnsi="Arial" w:cs="Arial"/>
              </w:rPr>
              <w:t xml:space="preserve">Out of the seven suppliers listed on the LASER </w:t>
            </w:r>
            <w:r w:rsidR="002E01CA">
              <w:rPr>
                <w:rFonts w:ascii="Arial" w:hAnsi="Arial" w:cs="Arial"/>
              </w:rPr>
              <w:t xml:space="preserve">Energy </w:t>
            </w:r>
            <w:r w:rsidRPr="002579D2">
              <w:rPr>
                <w:rFonts w:ascii="Arial" w:hAnsi="Arial" w:cs="Arial"/>
              </w:rPr>
              <w:t>Framework, only three suppliers submitted tender proposals:</w:t>
            </w:r>
          </w:p>
          <w:p w:rsidR="002579D2" w:rsidRPr="002579D2" w:rsidRDefault="002579D2" w:rsidP="002579D2">
            <w:pPr>
              <w:rPr>
                <w:rFonts w:ascii="Arial" w:hAnsi="Arial" w:cs="Arial"/>
              </w:rPr>
            </w:pPr>
          </w:p>
          <w:p w:rsidR="002579D2" w:rsidRPr="002579D2" w:rsidRDefault="002579D2" w:rsidP="002579D2">
            <w:pPr>
              <w:rPr>
                <w:rFonts w:ascii="Arial" w:hAnsi="Arial" w:cs="Arial"/>
              </w:rPr>
            </w:pPr>
            <w:r w:rsidRPr="002579D2">
              <w:rPr>
                <w:rFonts w:ascii="Arial" w:hAnsi="Arial" w:cs="Arial"/>
              </w:rPr>
              <w:t>1.</w:t>
            </w:r>
            <w:r w:rsidRPr="002579D2">
              <w:rPr>
                <w:rFonts w:ascii="Arial" w:hAnsi="Arial" w:cs="Arial"/>
              </w:rPr>
              <w:tab/>
              <w:t>Wave Utilities</w:t>
            </w:r>
          </w:p>
          <w:p w:rsidR="002579D2" w:rsidRPr="002579D2" w:rsidRDefault="002579D2" w:rsidP="002579D2">
            <w:pPr>
              <w:rPr>
                <w:rFonts w:ascii="Arial" w:hAnsi="Arial" w:cs="Arial"/>
              </w:rPr>
            </w:pPr>
            <w:r w:rsidRPr="002579D2">
              <w:rPr>
                <w:rFonts w:ascii="Arial" w:hAnsi="Arial" w:cs="Arial"/>
              </w:rPr>
              <w:t>2.</w:t>
            </w:r>
            <w:r w:rsidRPr="002579D2">
              <w:rPr>
                <w:rFonts w:ascii="Arial" w:hAnsi="Arial" w:cs="Arial"/>
              </w:rPr>
              <w:tab/>
              <w:t>Castle Water</w:t>
            </w:r>
          </w:p>
          <w:p w:rsidR="002579D2" w:rsidRPr="002579D2" w:rsidRDefault="002579D2" w:rsidP="002579D2">
            <w:pPr>
              <w:rPr>
                <w:rFonts w:ascii="Arial" w:hAnsi="Arial" w:cs="Arial"/>
              </w:rPr>
            </w:pPr>
            <w:r w:rsidRPr="002579D2">
              <w:rPr>
                <w:rFonts w:ascii="Arial" w:hAnsi="Arial" w:cs="Arial"/>
              </w:rPr>
              <w:t>3.</w:t>
            </w:r>
            <w:r w:rsidRPr="002579D2">
              <w:rPr>
                <w:rFonts w:ascii="Arial" w:hAnsi="Arial" w:cs="Arial"/>
              </w:rPr>
              <w:tab/>
              <w:t>ADSM</w:t>
            </w:r>
          </w:p>
          <w:p w:rsidR="002579D2" w:rsidRPr="002579D2" w:rsidRDefault="002579D2" w:rsidP="002579D2">
            <w:pPr>
              <w:rPr>
                <w:rFonts w:ascii="Arial" w:hAnsi="Arial" w:cs="Arial"/>
              </w:rPr>
            </w:pPr>
          </w:p>
          <w:p w:rsidR="002579D2" w:rsidRPr="002579D2" w:rsidRDefault="002579D2" w:rsidP="002579D2">
            <w:pPr>
              <w:rPr>
                <w:rFonts w:ascii="Arial" w:hAnsi="Arial" w:cs="Arial"/>
              </w:rPr>
            </w:pPr>
            <w:r w:rsidRPr="002579D2">
              <w:rPr>
                <w:rFonts w:ascii="Arial" w:hAnsi="Arial" w:cs="Arial"/>
              </w:rPr>
              <w:t>The following text is taken from LASER</w:t>
            </w:r>
            <w:r w:rsidR="002E01CA">
              <w:rPr>
                <w:rFonts w:ascii="Arial" w:hAnsi="Arial" w:cs="Arial"/>
              </w:rPr>
              <w:t xml:space="preserve"> Energy</w:t>
            </w:r>
            <w:r w:rsidRPr="002579D2">
              <w:rPr>
                <w:rFonts w:ascii="Arial" w:hAnsi="Arial" w:cs="Arial"/>
              </w:rPr>
              <w:t xml:space="preserve">’s </w:t>
            </w:r>
            <w:r w:rsidRPr="00871016">
              <w:rPr>
                <w:rFonts w:ascii="Arial" w:hAnsi="Arial" w:cs="Arial"/>
                <w:i/>
              </w:rPr>
              <w:t>Ranking &amp; Results Report</w:t>
            </w:r>
            <w:r w:rsidRPr="002579D2">
              <w:rPr>
                <w:rFonts w:ascii="Arial" w:hAnsi="Arial" w:cs="Arial"/>
              </w:rPr>
              <w:t>:</w:t>
            </w:r>
          </w:p>
          <w:p w:rsidR="002579D2" w:rsidRPr="002579D2" w:rsidRDefault="002579D2" w:rsidP="002579D2">
            <w:pPr>
              <w:rPr>
                <w:rFonts w:ascii="Arial" w:hAnsi="Arial" w:cs="Arial"/>
              </w:rPr>
            </w:pPr>
          </w:p>
          <w:p w:rsidR="002579D2" w:rsidRPr="002579D2" w:rsidRDefault="002579D2" w:rsidP="002579D2">
            <w:pPr>
              <w:rPr>
                <w:rFonts w:ascii="Arial" w:hAnsi="Arial" w:cs="Arial"/>
              </w:rPr>
            </w:pPr>
            <w:r w:rsidRPr="002579D2">
              <w:rPr>
                <w:rFonts w:ascii="Arial" w:hAnsi="Arial" w:cs="Arial"/>
              </w:rPr>
              <w:t>Tender responses showed a saving of approximately £8,500 per annum over the default tariff.  Additional benefits are expected through the assurances of customer service provision received in responses. Through LASER</w:t>
            </w:r>
            <w:r w:rsidR="00871016">
              <w:rPr>
                <w:rFonts w:ascii="Arial" w:hAnsi="Arial" w:cs="Arial"/>
              </w:rPr>
              <w:t xml:space="preserve"> Energy</w:t>
            </w:r>
            <w:r w:rsidRPr="002579D2">
              <w:rPr>
                <w:rFonts w:ascii="Arial" w:hAnsi="Arial" w:cs="Arial"/>
              </w:rPr>
              <w:t>’s framework, the received customer service will be evaluated against Key Performance Indicators (KPIs), with the potential to enforce Poor Performance Remedies in cases of significant and prolonged poor customer service.</w:t>
            </w:r>
          </w:p>
          <w:p w:rsidR="002579D2" w:rsidRPr="002579D2" w:rsidRDefault="002579D2" w:rsidP="002579D2">
            <w:pPr>
              <w:rPr>
                <w:rFonts w:ascii="Arial" w:hAnsi="Arial" w:cs="Arial"/>
              </w:rPr>
            </w:pPr>
          </w:p>
          <w:p w:rsidR="002579D2" w:rsidRPr="002579D2" w:rsidRDefault="002579D2" w:rsidP="002579D2">
            <w:pPr>
              <w:rPr>
                <w:rFonts w:ascii="Arial" w:hAnsi="Arial" w:cs="Arial"/>
              </w:rPr>
            </w:pPr>
            <w:r w:rsidRPr="002579D2">
              <w:rPr>
                <w:rFonts w:ascii="Arial" w:hAnsi="Arial" w:cs="Arial"/>
              </w:rPr>
              <w:lastRenderedPageBreak/>
              <w:t>Responses were received from three suppliers on the framework. All responses pointed to a good understanding of the portfolio and an improved customer service provision. Responses from each supplier were scored as follows:</w:t>
            </w:r>
          </w:p>
          <w:p w:rsidR="002579D2" w:rsidRPr="002579D2" w:rsidRDefault="002579D2" w:rsidP="002579D2">
            <w:pPr>
              <w:rPr>
                <w:rFonts w:ascii="Arial" w:hAnsi="Arial" w:cs="Arial"/>
              </w:rPr>
            </w:pPr>
          </w:p>
          <w:tbl>
            <w:tblPr>
              <w:tblW w:w="0" w:type="auto"/>
              <w:tblInd w:w="103" w:type="dxa"/>
              <w:tblCellMar>
                <w:left w:w="0" w:type="dxa"/>
                <w:right w:w="0" w:type="dxa"/>
              </w:tblCellMar>
              <w:tblLook w:val="0000" w:firstRow="0" w:lastRow="0" w:firstColumn="0" w:lastColumn="0" w:noHBand="0" w:noVBand="0"/>
            </w:tblPr>
            <w:tblGrid>
              <w:gridCol w:w="801"/>
              <w:gridCol w:w="1718"/>
              <w:gridCol w:w="1279"/>
              <w:gridCol w:w="1198"/>
              <w:gridCol w:w="1478"/>
            </w:tblGrid>
            <w:tr w:rsidR="002579D2" w:rsidRPr="00D76657" w:rsidTr="002579D2">
              <w:trPr>
                <w:trHeight w:hRule="exact" w:val="558"/>
              </w:trPr>
              <w:tc>
                <w:tcPr>
                  <w:tcW w:w="801" w:type="dxa"/>
                  <w:tcBorders>
                    <w:top w:val="single" w:sz="7" w:space="0" w:color="000000"/>
                    <w:left w:val="single" w:sz="7" w:space="0" w:color="000000"/>
                    <w:bottom w:val="single" w:sz="4" w:space="0" w:color="9BC2E6"/>
                    <w:right w:val="single" w:sz="7" w:space="0" w:color="000000"/>
                  </w:tcBorders>
                  <w:shd w:val="clear" w:color="auto" w:fill="5B9BD4"/>
                </w:tcPr>
                <w:p w:rsidR="002579D2" w:rsidRPr="00D76657" w:rsidRDefault="002579D2" w:rsidP="002579D2">
                  <w:pPr>
                    <w:kinsoku w:val="0"/>
                    <w:overflowPunct w:val="0"/>
                    <w:autoSpaceDE w:val="0"/>
                    <w:autoSpaceDN w:val="0"/>
                    <w:adjustRightInd w:val="0"/>
                    <w:spacing w:before="3"/>
                    <w:rPr>
                      <w:sz w:val="23"/>
                      <w:szCs w:val="23"/>
                    </w:rPr>
                  </w:pPr>
                </w:p>
                <w:p w:rsidR="002579D2" w:rsidRPr="00D76657" w:rsidRDefault="002579D2" w:rsidP="002579D2">
                  <w:pPr>
                    <w:kinsoku w:val="0"/>
                    <w:overflowPunct w:val="0"/>
                    <w:autoSpaceDE w:val="0"/>
                    <w:autoSpaceDN w:val="0"/>
                    <w:adjustRightInd w:val="0"/>
                    <w:ind w:left="98"/>
                  </w:pPr>
                  <w:r w:rsidRPr="00D76657">
                    <w:rPr>
                      <w:rFonts w:ascii="Calibri" w:hAnsi="Calibri" w:cs="Calibri"/>
                      <w:b/>
                      <w:bCs/>
                      <w:color w:val="FFFFFF"/>
                      <w:sz w:val="22"/>
                      <w:szCs w:val="22"/>
                    </w:rPr>
                    <w:t>Bidder</w:t>
                  </w:r>
                </w:p>
              </w:tc>
              <w:tc>
                <w:tcPr>
                  <w:tcW w:w="1718" w:type="dxa"/>
                  <w:tcBorders>
                    <w:top w:val="single" w:sz="7" w:space="0" w:color="000000"/>
                    <w:left w:val="single" w:sz="7" w:space="0" w:color="000000"/>
                    <w:bottom w:val="single" w:sz="4" w:space="0" w:color="9BC2E6"/>
                    <w:right w:val="single" w:sz="7" w:space="0" w:color="000000"/>
                  </w:tcBorders>
                  <w:shd w:val="clear" w:color="auto" w:fill="5B9BD4"/>
                </w:tcPr>
                <w:p w:rsidR="002579D2" w:rsidRPr="00D76657" w:rsidRDefault="002579D2" w:rsidP="002579D2">
                  <w:pPr>
                    <w:kinsoku w:val="0"/>
                    <w:overflowPunct w:val="0"/>
                    <w:autoSpaceDE w:val="0"/>
                    <w:autoSpaceDN w:val="0"/>
                    <w:adjustRightInd w:val="0"/>
                    <w:ind w:left="539" w:right="402" w:hanging="125"/>
                  </w:pPr>
                  <w:r w:rsidRPr="00D76657">
                    <w:rPr>
                      <w:rFonts w:ascii="Calibri" w:hAnsi="Calibri" w:cs="Calibri"/>
                      <w:b/>
                      <w:bCs/>
                      <w:color w:val="FFFFFF"/>
                      <w:sz w:val="22"/>
                      <w:szCs w:val="22"/>
                    </w:rPr>
                    <w:t>Quality of Service</w:t>
                  </w:r>
                </w:p>
              </w:tc>
              <w:tc>
                <w:tcPr>
                  <w:tcW w:w="1279" w:type="dxa"/>
                  <w:tcBorders>
                    <w:top w:val="single" w:sz="7" w:space="0" w:color="000000"/>
                    <w:left w:val="single" w:sz="7" w:space="0" w:color="000000"/>
                    <w:bottom w:val="single" w:sz="4" w:space="0" w:color="9BC2E6"/>
                    <w:right w:val="single" w:sz="7" w:space="0" w:color="000000"/>
                  </w:tcBorders>
                  <w:shd w:val="clear" w:color="auto" w:fill="5B9BD4"/>
                </w:tcPr>
                <w:p w:rsidR="002579D2" w:rsidRPr="00D76657" w:rsidRDefault="002579D2" w:rsidP="002579D2">
                  <w:pPr>
                    <w:kinsoku w:val="0"/>
                    <w:overflowPunct w:val="0"/>
                    <w:autoSpaceDE w:val="0"/>
                    <w:autoSpaceDN w:val="0"/>
                    <w:adjustRightInd w:val="0"/>
                    <w:ind w:left="379" w:right="323" w:hanging="39"/>
                  </w:pPr>
                  <w:r w:rsidRPr="00D76657">
                    <w:rPr>
                      <w:rFonts w:ascii="Calibri" w:hAnsi="Calibri" w:cs="Calibri"/>
                      <w:b/>
                      <w:bCs/>
                      <w:color w:val="FFFFFF"/>
                      <w:sz w:val="22"/>
                      <w:szCs w:val="22"/>
                    </w:rPr>
                    <w:t>Added Value</w:t>
                  </w:r>
                </w:p>
              </w:tc>
              <w:tc>
                <w:tcPr>
                  <w:tcW w:w="1687" w:type="dxa"/>
                  <w:tcBorders>
                    <w:top w:val="single" w:sz="7" w:space="0" w:color="000000"/>
                    <w:left w:val="single" w:sz="7" w:space="0" w:color="000000"/>
                    <w:bottom w:val="single" w:sz="4" w:space="0" w:color="9BC2E6"/>
                    <w:right w:val="single" w:sz="7" w:space="0" w:color="000000"/>
                  </w:tcBorders>
                  <w:shd w:val="clear" w:color="auto" w:fill="5B9BD4"/>
                </w:tcPr>
                <w:p w:rsidR="002579D2" w:rsidRPr="00D76657" w:rsidRDefault="002579D2" w:rsidP="002579D2">
                  <w:pPr>
                    <w:kinsoku w:val="0"/>
                    <w:overflowPunct w:val="0"/>
                    <w:autoSpaceDE w:val="0"/>
                    <w:autoSpaceDN w:val="0"/>
                    <w:adjustRightInd w:val="0"/>
                    <w:spacing w:before="133"/>
                    <w:ind w:left="281" w:right="282"/>
                    <w:jc w:val="center"/>
                  </w:pPr>
                  <w:r w:rsidRPr="00D76657">
                    <w:rPr>
                      <w:rFonts w:ascii="Calibri" w:hAnsi="Calibri" w:cs="Calibri"/>
                      <w:b/>
                      <w:bCs/>
                      <w:color w:val="FFFFFF"/>
                      <w:sz w:val="22"/>
                      <w:szCs w:val="22"/>
                    </w:rPr>
                    <w:t>Pricing</w:t>
                  </w:r>
                </w:p>
              </w:tc>
              <w:tc>
                <w:tcPr>
                  <w:tcW w:w="989" w:type="dxa"/>
                  <w:tcBorders>
                    <w:top w:val="single" w:sz="7" w:space="0" w:color="000000"/>
                    <w:left w:val="single" w:sz="7" w:space="0" w:color="000000"/>
                    <w:bottom w:val="single" w:sz="7" w:space="0" w:color="000000"/>
                    <w:right w:val="single" w:sz="7" w:space="0" w:color="000000"/>
                  </w:tcBorders>
                  <w:shd w:val="clear" w:color="auto" w:fill="5B9BD4"/>
                </w:tcPr>
                <w:p w:rsidR="002579D2" w:rsidRPr="00D76657" w:rsidRDefault="002579D2" w:rsidP="002579D2">
                  <w:pPr>
                    <w:kinsoku w:val="0"/>
                    <w:overflowPunct w:val="0"/>
                    <w:autoSpaceDE w:val="0"/>
                    <w:autoSpaceDN w:val="0"/>
                    <w:adjustRightInd w:val="0"/>
                    <w:spacing w:before="133"/>
                    <w:ind w:left="476" w:right="480"/>
                    <w:jc w:val="center"/>
                  </w:pPr>
                  <w:r w:rsidRPr="00D76657">
                    <w:rPr>
                      <w:rFonts w:ascii="Calibri" w:hAnsi="Calibri" w:cs="Calibri"/>
                      <w:b/>
                      <w:bCs/>
                      <w:color w:val="FFFFFF"/>
                      <w:sz w:val="22"/>
                      <w:szCs w:val="22"/>
                    </w:rPr>
                    <w:t>Total</w:t>
                  </w:r>
                </w:p>
              </w:tc>
            </w:tr>
            <w:tr w:rsidR="002579D2" w:rsidRPr="00D76657" w:rsidTr="002579D2">
              <w:trPr>
                <w:trHeight w:hRule="exact" w:val="316"/>
              </w:trPr>
              <w:tc>
                <w:tcPr>
                  <w:tcW w:w="801" w:type="dxa"/>
                  <w:tcBorders>
                    <w:top w:val="single" w:sz="4" w:space="0" w:color="9BC2E6"/>
                    <w:left w:val="single" w:sz="7" w:space="0" w:color="000000"/>
                    <w:bottom w:val="single" w:sz="4" w:space="0" w:color="9BC2E6"/>
                    <w:right w:val="single" w:sz="7" w:space="0" w:color="000000"/>
                  </w:tcBorders>
                  <w:shd w:val="clear" w:color="auto" w:fill="DDEBF7"/>
                </w:tcPr>
                <w:p w:rsidR="002579D2" w:rsidRPr="00D76657" w:rsidRDefault="002579D2" w:rsidP="002579D2">
                  <w:pPr>
                    <w:kinsoku w:val="0"/>
                    <w:overflowPunct w:val="0"/>
                    <w:autoSpaceDE w:val="0"/>
                    <w:autoSpaceDN w:val="0"/>
                    <w:adjustRightInd w:val="0"/>
                    <w:spacing w:before="36"/>
                    <w:ind w:left="98"/>
                  </w:pPr>
                  <w:r w:rsidRPr="00D76657">
                    <w:rPr>
                      <w:rFonts w:ascii="Calibri" w:hAnsi="Calibri" w:cs="Calibri"/>
                      <w:sz w:val="22"/>
                      <w:szCs w:val="22"/>
                    </w:rPr>
                    <w:t>Wave</w:t>
                  </w:r>
                  <w:r>
                    <w:rPr>
                      <w:rFonts w:ascii="Calibri" w:hAnsi="Calibri" w:cs="Calibri"/>
                      <w:sz w:val="22"/>
                      <w:szCs w:val="22"/>
                    </w:rPr>
                    <w:t xml:space="preserve"> Utilities</w:t>
                  </w:r>
                </w:p>
              </w:tc>
              <w:tc>
                <w:tcPr>
                  <w:tcW w:w="1718" w:type="dxa"/>
                  <w:tcBorders>
                    <w:top w:val="single" w:sz="4" w:space="0" w:color="9BC2E6"/>
                    <w:left w:val="single" w:sz="7" w:space="0" w:color="000000"/>
                    <w:bottom w:val="single" w:sz="4" w:space="0" w:color="9BC2E6"/>
                    <w:right w:val="single" w:sz="7" w:space="0" w:color="000000"/>
                  </w:tcBorders>
                  <w:shd w:val="clear" w:color="auto" w:fill="DDEBF7"/>
                </w:tcPr>
                <w:p w:rsidR="002579D2" w:rsidRPr="00D76657" w:rsidRDefault="002579D2" w:rsidP="002579D2">
                  <w:pPr>
                    <w:kinsoku w:val="0"/>
                    <w:overflowPunct w:val="0"/>
                    <w:autoSpaceDE w:val="0"/>
                    <w:autoSpaceDN w:val="0"/>
                    <w:adjustRightInd w:val="0"/>
                    <w:spacing w:before="36"/>
                    <w:ind w:left="682" w:right="684"/>
                    <w:jc w:val="center"/>
                  </w:pPr>
                  <w:r w:rsidRPr="00D76657">
                    <w:rPr>
                      <w:rFonts w:ascii="Calibri" w:hAnsi="Calibri" w:cs="Calibri"/>
                      <w:sz w:val="22"/>
                      <w:szCs w:val="22"/>
                    </w:rPr>
                    <w:t>240</w:t>
                  </w:r>
                </w:p>
              </w:tc>
              <w:tc>
                <w:tcPr>
                  <w:tcW w:w="1279" w:type="dxa"/>
                  <w:tcBorders>
                    <w:top w:val="single" w:sz="4" w:space="0" w:color="9BC2E6"/>
                    <w:left w:val="single" w:sz="7" w:space="0" w:color="000000"/>
                    <w:bottom w:val="single" w:sz="4" w:space="0" w:color="9BC2E6"/>
                    <w:right w:val="single" w:sz="7" w:space="0" w:color="000000"/>
                  </w:tcBorders>
                  <w:shd w:val="clear" w:color="auto" w:fill="DDEBF7"/>
                </w:tcPr>
                <w:p w:rsidR="002579D2" w:rsidRPr="00D76657" w:rsidRDefault="002579D2" w:rsidP="002579D2">
                  <w:pPr>
                    <w:kinsoku w:val="0"/>
                    <w:overflowPunct w:val="0"/>
                    <w:autoSpaceDE w:val="0"/>
                    <w:autoSpaceDN w:val="0"/>
                    <w:adjustRightInd w:val="0"/>
                    <w:spacing w:before="36"/>
                    <w:ind w:left="370" w:right="370"/>
                    <w:jc w:val="center"/>
                  </w:pPr>
                  <w:r w:rsidRPr="00D76657">
                    <w:rPr>
                      <w:rFonts w:ascii="Calibri" w:hAnsi="Calibri" w:cs="Calibri"/>
                      <w:sz w:val="22"/>
                      <w:szCs w:val="22"/>
                    </w:rPr>
                    <w:t>322.8</w:t>
                  </w:r>
                </w:p>
              </w:tc>
              <w:tc>
                <w:tcPr>
                  <w:tcW w:w="1687" w:type="dxa"/>
                  <w:tcBorders>
                    <w:top w:val="single" w:sz="4" w:space="0" w:color="9BC2E6"/>
                    <w:left w:val="single" w:sz="7" w:space="0" w:color="000000"/>
                    <w:bottom w:val="single" w:sz="4" w:space="0" w:color="9BC2E6"/>
                    <w:right w:val="single" w:sz="7" w:space="0" w:color="000000"/>
                  </w:tcBorders>
                  <w:shd w:val="clear" w:color="auto" w:fill="DDEBF7"/>
                </w:tcPr>
                <w:p w:rsidR="002579D2" w:rsidRPr="00D76657" w:rsidRDefault="002579D2" w:rsidP="002579D2">
                  <w:pPr>
                    <w:kinsoku w:val="0"/>
                    <w:overflowPunct w:val="0"/>
                    <w:autoSpaceDE w:val="0"/>
                    <w:autoSpaceDN w:val="0"/>
                    <w:adjustRightInd w:val="0"/>
                    <w:spacing w:before="36"/>
                    <w:ind w:left="281" w:right="281"/>
                    <w:jc w:val="center"/>
                  </w:pPr>
                  <w:r w:rsidRPr="00D76657">
                    <w:rPr>
                      <w:rFonts w:ascii="Calibri" w:hAnsi="Calibri" w:cs="Calibri"/>
                      <w:sz w:val="22"/>
                      <w:szCs w:val="22"/>
                    </w:rPr>
                    <w:t>73.8</w:t>
                  </w:r>
                </w:p>
              </w:tc>
              <w:tc>
                <w:tcPr>
                  <w:tcW w:w="989" w:type="dxa"/>
                  <w:tcBorders>
                    <w:top w:val="single" w:sz="7" w:space="0" w:color="000000"/>
                    <w:left w:val="single" w:sz="7" w:space="0" w:color="000000"/>
                    <w:bottom w:val="single" w:sz="4" w:space="0" w:color="9BC2E6"/>
                    <w:right w:val="single" w:sz="7" w:space="0" w:color="000000"/>
                  </w:tcBorders>
                  <w:shd w:val="clear" w:color="auto" w:fill="DDEBF7"/>
                </w:tcPr>
                <w:p w:rsidR="002579D2" w:rsidRPr="00D76657" w:rsidRDefault="002579D2" w:rsidP="002579D2">
                  <w:pPr>
                    <w:kinsoku w:val="0"/>
                    <w:overflowPunct w:val="0"/>
                    <w:autoSpaceDE w:val="0"/>
                    <w:autoSpaceDN w:val="0"/>
                    <w:adjustRightInd w:val="0"/>
                    <w:spacing w:before="15"/>
                    <w:ind w:left="479" w:right="480"/>
                    <w:jc w:val="center"/>
                  </w:pPr>
                  <w:r w:rsidRPr="00D76657">
                    <w:rPr>
                      <w:rFonts w:ascii="Calibri" w:hAnsi="Calibri" w:cs="Calibri"/>
                      <w:sz w:val="22"/>
                      <w:szCs w:val="22"/>
                    </w:rPr>
                    <w:t>636.6</w:t>
                  </w:r>
                </w:p>
              </w:tc>
            </w:tr>
            <w:tr w:rsidR="002579D2" w:rsidRPr="00D76657" w:rsidTr="002579D2">
              <w:trPr>
                <w:trHeight w:hRule="exact" w:val="310"/>
              </w:trPr>
              <w:tc>
                <w:tcPr>
                  <w:tcW w:w="801" w:type="dxa"/>
                  <w:tcBorders>
                    <w:top w:val="single" w:sz="4" w:space="0" w:color="9BC2E6"/>
                    <w:left w:val="single" w:sz="7" w:space="0" w:color="000000"/>
                    <w:bottom w:val="single" w:sz="4" w:space="0" w:color="9BC2E6"/>
                    <w:right w:val="single" w:sz="7" w:space="0" w:color="000000"/>
                  </w:tcBorders>
                </w:tcPr>
                <w:p w:rsidR="002579D2" w:rsidRPr="00D76657" w:rsidRDefault="002579D2" w:rsidP="002579D2">
                  <w:pPr>
                    <w:kinsoku w:val="0"/>
                    <w:overflowPunct w:val="0"/>
                    <w:autoSpaceDE w:val="0"/>
                    <w:autoSpaceDN w:val="0"/>
                    <w:adjustRightInd w:val="0"/>
                    <w:spacing w:before="30"/>
                    <w:ind w:left="98"/>
                  </w:pPr>
                  <w:r w:rsidRPr="00D76657">
                    <w:rPr>
                      <w:rFonts w:ascii="Calibri" w:hAnsi="Calibri" w:cs="Calibri"/>
                      <w:sz w:val="22"/>
                      <w:szCs w:val="22"/>
                    </w:rPr>
                    <w:t>Castle Water</w:t>
                  </w:r>
                </w:p>
              </w:tc>
              <w:tc>
                <w:tcPr>
                  <w:tcW w:w="1718" w:type="dxa"/>
                  <w:tcBorders>
                    <w:top w:val="single" w:sz="4" w:space="0" w:color="9BC2E6"/>
                    <w:left w:val="single" w:sz="7" w:space="0" w:color="000000"/>
                    <w:bottom w:val="single" w:sz="4" w:space="0" w:color="9BC2E6"/>
                    <w:right w:val="single" w:sz="7" w:space="0" w:color="000000"/>
                  </w:tcBorders>
                </w:tcPr>
                <w:p w:rsidR="002579D2" w:rsidRPr="00D76657" w:rsidRDefault="002579D2" w:rsidP="002579D2">
                  <w:pPr>
                    <w:kinsoku w:val="0"/>
                    <w:overflowPunct w:val="0"/>
                    <w:autoSpaceDE w:val="0"/>
                    <w:autoSpaceDN w:val="0"/>
                    <w:adjustRightInd w:val="0"/>
                    <w:spacing w:before="30"/>
                    <w:ind w:left="682" w:right="684"/>
                    <w:jc w:val="center"/>
                  </w:pPr>
                  <w:r w:rsidRPr="00D76657">
                    <w:rPr>
                      <w:rFonts w:ascii="Calibri" w:hAnsi="Calibri" w:cs="Calibri"/>
                      <w:sz w:val="22"/>
                      <w:szCs w:val="22"/>
                    </w:rPr>
                    <w:t>260</w:t>
                  </w:r>
                </w:p>
              </w:tc>
              <w:tc>
                <w:tcPr>
                  <w:tcW w:w="1279" w:type="dxa"/>
                  <w:tcBorders>
                    <w:top w:val="single" w:sz="4" w:space="0" w:color="9BC2E6"/>
                    <w:left w:val="single" w:sz="7" w:space="0" w:color="000000"/>
                    <w:bottom w:val="single" w:sz="4" w:space="0" w:color="9BC2E6"/>
                    <w:right w:val="single" w:sz="7" w:space="0" w:color="000000"/>
                  </w:tcBorders>
                </w:tcPr>
                <w:p w:rsidR="002579D2" w:rsidRPr="00D76657" w:rsidRDefault="002579D2" w:rsidP="002579D2">
                  <w:pPr>
                    <w:kinsoku w:val="0"/>
                    <w:overflowPunct w:val="0"/>
                    <w:autoSpaceDE w:val="0"/>
                    <w:autoSpaceDN w:val="0"/>
                    <w:adjustRightInd w:val="0"/>
                    <w:spacing w:before="30"/>
                    <w:ind w:left="370" w:right="370"/>
                    <w:jc w:val="center"/>
                  </w:pPr>
                  <w:r w:rsidRPr="00D76657">
                    <w:rPr>
                      <w:rFonts w:ascii="Calibri" w:hAnsi="Calibri" w:cs="Calibri"/>
                      <w:sz w:val="22"/>
                      <w:szCs w:val="22"/>
                    </w:rPr>
                    <w:t>232</w:t>
                  </w:r>
                </w:p>
              </w:tc>
              <w:tc>
                <w:tcPr>
                  <w:tcW w:w="1687" w:type="dxa"/>
                  <w:tcBorders>
                    <w:top w:val="single" w:sz="4" w:space="0" w:color="9BC2E6"/>
                    <w:left w:val="single" w:sz="7" w:space="0" w:color="000000"/>
                    <w:bottom w:val="single" w:sz="4" w:space="0" w:color="9BC2E6"/>
                    <w:right w:val="single" w:sz="7" w:space="0" w:color="000000"/>
                  </w:tcBorders>
                </w:tcPr>
                <w:p w:rsidR="002579D2" w:rsidRPr="00D76657" w:rsidRDefault="002579D2" w:rsidP="002579D2">
                  <w:pPr>
                    <w:kinsoku w:val="0"/>
                    <w:overflowPunct w:val="0"/>
                    <w:autoSpaceDE w:val="0"/>
                    <w:autoSpaceDN w:val="0"/>
                    <w:adjustRightInd w:val="0"/>
                    <w:spacing w:before="30"/>
                    <w:ind w:left="281" w:right="282"/>
                    <w:jc w:val="center"/>
                  </w:pPr>
                  <w:r w:rsidRPr="00D76657">
                    <w:rPr>
                      <w:rFonts w:ascii="Calibri" w:hAnsi="Calibri" w:cs="Calibri"/>
                      <w:sz w:val="22"/>
                      <w:szCs w:val="22"/>
                    </w:rPr>
                    <w:t>140</w:t>
                  </w:r>
                </w:p>
              </w:tc>
              <w:tc>
                <w:tcPr>
                  <w:tcW w:w="989" w:type="dxa"/>
                  <w:tcBorders>
                    <w:top w:val="single" w:sz="4" w:space="0" w:color="9BC2E6"/>
                    <w:left w:val="single" w:sz="7" w:space="0" w:color="000000"/>
                    <w:bottom w:val="single" w:sz="4" w:space="0" w:color="9BC2E6"/>
                    <w:right w:val="single" w:sz="7" w:space="0" w:color="000000"/>
                  </w:tcBorders>
                </w:tcPr>
                <w:p w:rsidR="002579D2" w:rsidRPr="00D76657" w:rsidRDefault="002579D2" w:rsidP="002579D2">
                  <w:pPr>
                    <w:kinsoku w:val="0"/>
                    <w:overflowPunct w:val="0"/>
                    <w:autoSpaceDE w:val="0"/>
                    <w:autoSpaceDN w:val="0"/>
                    <w:adjustRightInd w:val="0"/>
                    <w:spacing w:before="13"/>
                    <w:ind w:left="477" w:right="480"/>
                    <w:jc w:val="center"/>
                  </w:pPr>
                  <w:r w:rsidRPr="00D76657">
                    <w:rPr>
                      <w:rFonts w:ascii="Calibri" w:hAnsi="Calibri" w:cs="Calibri"/>
                      <w:sz w:val="22"/>
                      <w:szCs w:val="22"/>
                    </w:rPr>
                    <w:t>632</w:t>
                  </w:r>
                </w:p>
              </w:tc>
            </w:tr>
            <w:tr w:rsidR="002579D2" w:rsidRPr="00D76657" w:rsidTr="002579D2">
              <w:trPr>
                <w:trHeight w:hRule="exact" w:val="330"/>
              </w:trPr>
              <w:tc>
                <w:tcPr>
                  <w:tcW w:w="801" w:type="dxa"/>
                  <w:tcBorders>
                    <w:top w:val="single" w:sz="4" w:space="0" w:color="9BC2E6"/>
                    <w:left w:val="single" w:sz="7" w:space="0" w:color="000000"/>
                    <w:bottom w:val="single" w:sz="7" w:space="0" w:color="000000"/>
                    <w:right w:val="single" w:sz="7" w:space="0" w:color="000000"/>
                  </w:tcBorders>
                  <w:shd w:val="clear" w:color="auto" w:fill="DDEBF7"/>
                </w:tcPr>
                <w:p w:rsidR="002579D2" w:rsidRPr="00D76657" w:rsidRDefault="002579D2" w:rsidP="002579D2">
                  <w:pPr>
                    <w:kinsoku w:val="0"/>
                    <w:overflowPunct w:val="0"/>
                    <w:autoSpaceDE w:val="0"/>
                    <w:autoSpaceDN w:val="0"/>
                    <w:adjustRightInd w:val="0"/>
                    <w:spacing w:before="45"/>
                    <w:ind w:left="98"/>
                  </w:pPr>
                  <w:r w:rsidRPr="00D76657">
                    <w:rPr>
                      <w:rFonts w:ascii="Calibri" w:hAnsi="Calibri" w:cs="Calibri"/>
                      <w:sz w:val="22"/>
                      <w:szCs w:val="22"/>
                    </w:rPr>
                    <w:t>ADSM</w:t>
                  </w:r>
                </w:p>
              </w:tc>
              <w:tc>
                <w:tcPr>
                  <w:tcW w:w="1718" w:type="dxa"/>
                  <w:tcBorders>
                    <w:top w:val="single" w:sz="4" w:space="0" w:color="9BC2E6"/>
                    <w:left w:val="single" w:sz="7" w:space="0" w:color="000000"/>
                    <w:bottom w:val="single" w:sz="7" w:space="0" w:color="000000"/>
                    <w:right w:val="single" w:sz="7" w:space="0" w:color="000000"/>
                  </w:tcBorders>
                  <w:shd w:val="clear" w:color="auto" w:fill="DDEBF7"/>
                </w:tcPr>
                <w:p w:rsidR="002579D2" w:rsidRPr="00D76657" w:rsidRDefault="002579D2" w:rsidP="002579D2">
                  <w:pPr>
                    <w:kinsoku w:val="0"/>
                    <w:overflowPunct w:val="0"/>
                    <w:autoSpaceDE w:val="0"/>
                    <w:autoSpaceDN w:val="0"/>
                    <w:adjustRightInd w:val="0"/>
                    <w:spacing w:before="23"/>
                    <w:ind w:left="682" w:right="684"/>
                    <w:jc w:val="center"/>
                  </w:pPr>
                  <w:r w:rsidRPr="00D76657">
                    <w:rPr>
                      <w:rFonts w:ascii="Calibri" w:hAnsi="Calibri" w:cs="Calibri"/>
                      <w:sz w:val="22"/>
                      <w:szCs w:val="22"/>
                    </w:rPr>
                    <w:t>279</w:t>
                  </w:r>
                </w:p>
              </w:tc>
              <w:tc>
                <w:tcPr>
                  <w:tcW w:w="1279" w:type="dxa"/>
                  <w:tcBorders>
                    <w:top w:val="single" w:sz="4" w:space="0" w:color="9BC2E6"/>
                    <w:left w:val="single" w:sz="7" w:space="0" w:color="000000"/>
                    <w:bottom w:val="single" w:sz="7" w:space="0" w:color="000000"/>
                    <w:right w:val="single" w:sz="7" w:space="0" w:color="000000"/>
                  </w:tcBorders>
                  <w:shd w:val="clear" w:color="auto" w:fill="DDEBF7"/>
                </w:tcPr>
                <w:p w:rsidR="002579D2" w:rsidRPr="00D76657" w:rsidRDefault="002579D2" w:rsidP="002579D2">
                  <w:pPr>
                    <w:kinsoku w:val="0"/>
                    <w:overflowPunct w:val="0"/>
                    <w:autoSpaceDE w:val="0"/>
                    <w:autoSpaceDN w:val="0"/>
                    <w:adjustRightInd w:val="0"/>
                    <w:spacing w:before="23"/>
                    <w:ind w:left="370" w:right="370"/>
                    <w:jc w:val="center"/>
                  </w:pPr>
                  <w:r w:rsidRPr="00D76657">
                    <w:rPr>
                      <w:rFonts w:ascii="Calibri" w:hAnsi="Calibri" w:cs="Calibri"/>
                      <w:sz w:val="22"/>
                      <w:szCs w:val="22"/>
                    </w:rPr>
                    <w:t>239</w:t>
                  </w:r>
                </w:p>
              </w:tc>
              <w:tc>
                <w:tcPr>
                  <w:tcW w:w="1687" w:type="dxa"/>
                  <w:tcBorders>
                    <w:top w:val="single" w:sz="4" w:space="0" w:color="9BC2E6"/>
                    <w:left w:val="single" w:sz="7" w:space="0" w:color="000000"/>
                    <w:bottom w:val="single" w:sz="7" w:space="0" w:color="000000"/>
                    <w:right w:val="single" w:sz="7" w:space="0" w:color="000000"/>
                  </w:tcBorders>
                  <w:shd w:val="clear" w:color="auto" w:fill="DDEBF7"/>
                </w:tcPr>
                <w:p w:rsidR="002579D2" w:rsidRPr="00D76657" w:rsidRDefault="002579D2" w:rsidP="002579D2">
                  <w:pPr>
                    <w:kinsoku w:val="0"/>
                    <w:overflowPunct w:val="0"/>
                    <w:autoSpaceDE w:val="0"/>
                    <w:autoSpaceDN w:val="0"/>
                    <w:adjustRightInd w:val="0"/>
                    <w:spacing w:before="23"/>
                    <w:ind w:left="281" w:right="281"/>
                    <w:jc w:val="center"/>
                  </w:pPr>
                  <w:r w:rsidRPr="00D76657">
                    <w:rPr>
                      <w:rFonts w:ascii="Calibri" w:hAnsi="Calibri" w:cs="Calibri"/>
                      <w:sz w:val="22"/>
                      <w:szCs w:val="22"/>
                    </w:rPr>
                    <w:t>60</w:t>
                  </w:r>
                </w:p>
              </w:tc>
              <w:tc>
                <w:tcPr>
                  <w:tcW w:w="989" w:type="dxa"/>
                  <w:tcBorders>
                    <w:top w:val="single" w:sz="4" w:space="0" w:color="9BC2E6"/>
                    <w:left w:val="single" w:sz="7" w:space="0" w:color="000000"/>
                    <w:bottom w:val="single" w:sz="7" w:space="0" w:color="000000"/>
                    <w:right w:val="single" w:sz="7" w:space="0" w:color="000000"/>
                  </w:tcBorders>
                  <w:shd w:val="clear" w:color="auto" w:fill="DDEBF7"/>
                </w:tcPr>
                <w:p w:rsidR="002579D2" w:rsidRPr="00D76657" w:rsidRDefault="002579D2" w:rsidP="002579D2">
                  <w:pPr>
                    <w:kinsoku w:val="0"/>
                    <w:overflowPunct w:val="0"/>
                    <w:autoSpaceDE w:val="0"/>
                    <w:autoSpaceDN w:val="0"/>
                    <w:adjustRightInd w:val="0"/>
                    <w:spacing w:before="23"/>
                    <w:ind w:left="478" w:right="480"/>
                    <w:jc w:val="center"/>
                  </w:pPr>
                  <w:r w:rsidRPr="00D76657">
                    <w:rPr>
                      <w:rFonts w:ascii="Calibri" w:hAnsi="Calibri" w:cs="Calibri"/>
                      <w:sz w:val="22"/>
                      <w:szCs w:val="22"/>
                    </w:rPr>
                    <w:t>578</w:t>
                  </w:r>
                </w:p>
              </w:tc>
            </w:tr>
          </w:tbl>
          <w:p w:rsidR="00CB5E4F" w:rsidRPr="00A96C08" w:rsidRDefault="00CB5E4F" w:rsidP="002579D2">
            <w:pPr>
              <w:rPr>
                <w:rFonts w:ascii="Arial" w:hAnsi="Arial" w:cs="Arial"/>
              </w:rPr>
            </w:pPr>
          </w:p>
        </w:tc>
      </w:tr>
      <w:tr w:rsidR="00B87695" w:rsidTr="008E4629">
        <w:tc>
          <w:tcPr>
            <w:tcW w:w="4962" w:type="dxa"/>
          </w:tcPr>
          <w:p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r>
              <w:rPr>
                <w:rFonts w:ascii="Arial" w:hAnsi="Arial" w:cs="Arial"/>
              </w:rPr>
              <w:t xml:space="preserve">Name and </w:t>
            </w:r>
            <w:r w:rsidR="00C678ED">
              <w:rPr>
                <w:rFonts w:ascii="Arial" w:hAnsi="Arial" w:cs="Arial"/>
              </w:rPr>
              <w:t>t</w:t>
            </w:r>
            <w:r>
              <w:rPr>
                <w:rFonts w:ascii="Arial" w:hAnsi="Arial" w:cs="Arial"/>
              </w:rPr>
              <w:t xml:space="preserve">itle of </w:t>
            </w:r>
            <w:r w:rsidR="00C678ED">
              <w:rPr>
                <w:rFonts w:ascii="Arial" w:hAnsi="Arial" w:cs="Arial"/>
              </w:rPr>
              <w:t>officer within the senior management structure</w:t>
            </w:r>
          </w:p>
        </w:tc>
        <w:tc>
          <w:tcPr>
            <w:tcW w:w="4962" w:type="dxa"/>
          </w:tcPr>
          <w:p w:rsidR="00B87695" w:rsidRPr="00A96C08" w:rsidRDefault="00A513BB" w:rsidP="00871016">
            <w:pPr>
              <w:rPr>
                <w:rFonts w:ascii="Arial" w:hAnsi="Arial" w:cs="Arial"/>
              </w:rPr>
            </w:pPr>
            <w:r>
              <w:rPr>
                <w:rFonts w:ascii="Arial" w:hAnsi="Arial" w:cs="Arial"/>
              </w:rPr>
              <w:t xml:space="preserve">The decision was made by Paul Spencer (Energy &amp; Carbon Manager), </w:t>
            </w:r>
            <w:r w:rsidRPr="00A513BB">
              <w:rPr>
                <w:rFonts w:ascii="Arial" w:hAnsi="Arial" w:cs="Arial"/>
              </w:rPr>
              <w:t xml:space="preserve">Matt Stevenson </w:t>
            </w:r>
            <w:r>
              <w:rPr>
                <w:rFonts w:ascii="Arial" w:hAnsi="Arial" w:cs="Arial"/>
              </w:rPr>
              <w:t>(</w:t>
            </w:r>
            <w:r w:rsidRPr="00A513BB">
              <w:rPr>
                <w:rFonts w:ascii="Arial" w:hAnsi="Arial" w:cs="Arial"/>
              </w:rPr>
              <w:t>Contracts and Procurement Specialist</w:t>
            </w:r>
            <w:r>
              <w:rPr>
                <w:rFonts w:ascii="Arial" w:hAnsi="Arial" w:cs="Arial"/>
              </w:rPr>
              <w:t xml:space="preserve">) and Andrew Sunderland (Energy Management Officer) following </w:t>
            </w:r>
            <w:r w:rsidR="00871016">
              <w:rPr>
                <w:rFonts w:ascii="Arial" w:hAnsi="Arial" w:cs="Arial"/>
              </w:rPr>
              <w:t xml:space="preserve">a </w:t>
            </w:r>
            <w:r>
              <w:rPr>
                <w:rFonts w:ascii="Arial" w:hAnsi="Arial" w:cs="Arial"/>
              </w:rPr>
              <w:t xml:space="preserve">presentation of the tender evaluation by Matt Hull (Water Services Manager at LASER Energy).  There was a subsequent three month </w:t>
            </w:r>
            <w:r w:rsidR="00871016">
              <w:rPr>
                <w:rFonts w:ascii="Arial" w:hAnsi="Arial" w:cs="Arial"/>
              </w:rPr>
              <w:t>extension</w:t>
            </w:r>
            <w:r>
              <w:rPr>
                <w:rFonts w:ascii="Arial" w:hAnsi="Arial" w:cs="Arial"/>
              </w:rPr>
              <w:t xml:space="preserve"> to enable Wave Utilities to resolve outstanding incompatibilities with their electronic billing </w:t>
            </w:r>
            <w:r w:rsidR="00871016">
              <w:rPr>
                <w:rFonts w:ascii="Arial" w:hAnsi="Arial" w:cs="Arial"/>
              </w:rPr>
              <w:t xml:space="preserve">(EDI) </w:t>
            </w:r>
            <w:r>
              <w:rPr>
                <w:rFonts w:ascii="Arial" w:hAnsi="Arial" w:cs="Arial"/>
              </w:rPr>
              <w:t>files.</w:t>
            </w:r>
          </w:p>
        </w:tc>
      </w:tr>
      <w:tr w:rsidR="006F6326" w:rsidTr="008E4629">
        <w:tc>
          <w:tcPr>
            <w:tcW w:w="4962" w:type="dxa"/>
          </w:tcPr>
          <w:p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r w:rsidRPr="00F11FD1">
              <w:rPr>
                <w:rFonts w:ascii="Arial" w:hAnsi="Arial" w:cs="Arial"/>
              </w:rPr>
              <w:t xml:space="preserve">List </w:t>
            </w:r>
            <w:r w:rsidR="00854133">
              <w:rPr>
                <w:rFonts w:ascii="Arial" w:hAnsi="Arial" w:cs="Arial"/>
              </w:rPr>
              <w:t xml:space="preserve">any </w:t>
            </w:r>
            <w:r w:rsidRPr="00F11FD1">
              <w:rPr>
                <w:rFonts w:ascii="Arial" w:hAnsi="Arial" w:cs="Arial"/>
              </w:rPr>
              <w:t>alternatives that were available to the decision taker and</w:t>
            </w:r>
            <w:r w:rsidR="00E270E5">
              <w:rPr>
                <w:rFonts w:ascii="Arial" w:hAnsi="Arial" w:cs="Arial"/>
              </w:rPr>
              <w:t xml:space="preserve"> why they were rejected</w:t>
            </w:r>
          </w:p>
        </w:tc>
        <w:tc>
          <w:tcPr>
            <w:tcW w:w="4962" w:type="dxa"/>
          </w:tcPr>
          <w:p w:rsidR="00263039" w:rsidRDefault="002579D2" w:rsidP="00DD1A34">
            <w:pPr>
              <w:rPr>
                <w:rFonts w:ascii="Arial" w:hAnsi="Arial" w:cs="Arial"/>
              </w:rPr>
            </w:pPr>
            <w:r>
              <w:rPr>
                <w:rFonts w:ascii="Arial" w:hAnsi="Arial" w:cs="Arial"/>
              </w:rPr>
              <w:t>As an immature market with limited retailer margins, there are far fewer procureme</w:t>
            </w:r>
            <w:r w:rsidR="005E0CBC">
              <w:rPr>
                <w:rFonts w:ascii="Arial" w:hAnsi="Arial" w:cs="Arial"/>
              </w:rPr>
              <w:t xml:space="preserve">nt options </w:t>
            </w:r>
            <w:r w:rsidR="008201E4">
              <w:rPr>
                <w:rFonts w:ascii="Arial" w:hAnsi="Arial" w:cs="Arial"/>
              </w:rPr>
              <w:t xml:space="preserve">available </w:t>
            </w:r>
            <w:r w:rsidR="005E0CBC">
              <w:rPr>
                <w:rFonts w:ascii="Arial" w:hAnsi="Arial" w:cs="Arial"/>
              </w:rPr>
              <w:t xml:space="preserve">when compared to energy.  Oxford City Council has </w:t>
            </w:r>
            <w:r w:rsidR="008201E4">
              <w:rPr>
                <w:rFonts w:ascii="Arial" w:hAnsi="Arial" w:cs="Arial"/>
              </w:rPr>
              <w:t xml:space="preserve">successfully </w:t>
            </w:r>
            <w:r w:rsidR="005E0CBC">
              <w:rPr>
                <w:rFonts w:ascii="Arial" w:hAnsi="Arial" w:cs="Arial"/>
              </w:rPr>
              <w:t>used LASER Energy for energy procurement over a number of years</w:t>
            </w:r>
            <w:r w:rsidR="008201E4">
              <w:rPr>
                <w:rFonts w:ascii="Arial" w:hAnsi="Arial" w:cs="Arial"/>
              </w:rPr>
              <w:t xml:space="preserve"> and they introduced water procurement </w:t>
            </w:r>
            <w:r w:rsidR="00871016">
              <w:rPr>
                <w:rFonts w:ascii="Arial" w:hAnsi="Arial" w:cs="Arial"/>
              </w:rPr>
              <w:t xml:space="preserve">framework </w:t>
            </w:r>
            <w:r w:rsidR="008201E4">
              <w:rPr>
                <w:rFonts w:ascii="Arial" w:hAnsi="Arial" w:cs="Arial"/>
              </w:rPr>
              <w:t>from the market opening.</w:t>
            </w:r>
            <w:r w:rsidR="005E0CBC">
              <w:rPr>
                <w:rFonts w:ascii="Arial" w:hAnsi="Arial" w:cs="Arial"/>
              </w:rPr>
              <w:t xml:space="preserve"> </w:t>
            </w:r>
          </w:p>
          <w:p w:rsidR="005E0CBC" w:rsidRPr="00A96C08" w:rsidRDefault="005E0CBC" w:rsidP="008201E4">
            <w:pPr>
              <w:rPr>
                <w:rFonts w:ascii="Arial" w:hAnsi="Arial" w:cs="Arial"/>
              </w:rPr>
            </w:pPr>
            <w:r>
              <w:rPr>
                <w:rFonts w:ascii="Arial" w:hAnsi="Arial" w:cs="Arial"/>
              </w:rPr>
              <w:t>A small number of local authorities (Blackpool and Nottingham City) have obtained self-supply licences</w:t>
            </w:r>
            <w:r w:rsidR="008201E4">
              <w:rPr>
                <w:rFonts w:ascii="Arial" w:hAnsi="Arial" w:cs="Arial"/>
              </w:rPr>
              <w:t xml:space="preserve"> from the regulator</w:t>
            </w:r>
            <w:r>
              <w:rPr>
                <w:rFonts w:ascii="Arial" w:hAnsi="Arial" w:cs="Arial"/>
              </w:rPr>
              <w:t xml:space="preserve">, enabling them to deal directly with wholesalers.  In discussions with industry experts, we have been advised that </w:t>
            </w:r>
            <w:r>
              <w:rPr>
                <w:rFonts w:ascii="Arial" w:hAnsi="Arial" w:cs="Arial"/>
              </w:rPr>
              <w:lastRenderedPageBreak/>
              <w:t xml:space="preserve">the council’s water consumption is below the desired threshold to make this a viable option </w:t>
            </w:r>
            <w:r w:rsidR="008201E4">
              <w:rPr>
                <w:rFonts w:ascii="Arial" w:hAnsi="Arial" w:cs="Arial"/>
              </w:rPr>
              <w:t>plus it would require additional administrative resources to obtain regular meter readings and manage wholesaler interactions</w:t>
            </w:r>
            <w:r>
              <w:rPr>
                <w:rFonts w:ascii="Arial" w:hAnsi="Arial" w:cs="Arial"/>
              </w:rPr>
              <w:t xml:space="preserve">. </w:t>
            </w:r>
          </w:p>
        </w:tc>
      </w:tr>
      <w:tr w:rsidR="006F6326" w:rsidTr="008E4629">
        <w:trPr>
          <w:trHeight w:val="1018"/>
        </w:trPr>
        <w:tc>
          <w:tcPr>
            <w:tcW w:w="4962" w:type="dxa"/>
          </w:tcPr>
          <w:p w:rsidR="00C678ED" w:rsidRPr="00C678ED" w:rsidRDefault="006F6326" w:rsidP="00231385">
            <w:pPr>
              <w:spacing w:before="120"/>
              <w:rPr>
                <w:rFonts w:ascii="Arial" w:hAnsi="Arial" w:cs="Arial"/>
              </w:rPr>
            </w:pPr>
            <w:r w:rsidRPr="00335A9B">
              <w:rPr>
                <w:rFonts w:ascii="Arial" w:hAnsi="Arial" w:cs="Arial"/>
                <w:b/>
              </w:rPr>
              <w:lastRenderedPageBreak/>
              <w:t>Documents considered</w:t>
            </w:r>
            <w:r w:rsidR="00AC5899">
              <w:rPr>
                <w:rFonts w:ascii="Arial" w:hAnsi="Arial" w:cs="Arial"/>
                <w:b/>
              </w:rPr>
              <w:t>:</w:t>
            </w:r>
            <w:r w:rsidRPr="006F6326">
              <w:rPr>
                <w:rFonts w:ascii="Arial" w:hAnsi="Arial" w:cs="Arial"/>
                <w:i/>
              </w:rPr>
              <w:t xml:space="preserve"> </w:t>
            </w:r>
            <w:r w:rsidR="00F11FD1" w:rsidRPr="00F11FD1">
              <w:rPr>
                <w:rFonts w:ascii="Arial" w:hAnsi="Arial" w:cs="Arial"/>
              </w:rPr>
              <w:t>Please</w:t>
            </w:r>
            <w:r w:rsidRPr="00F11FD1">
              <w:rPr>
                <w:rFonts w:ascii="Arial" w:hAnsi="Arial" w:cs="Arial"/>
              </w:rPr>
              <w:t xml:space="preserve"> attach</w:t>
            </w:r>
            <w:r w:rsidR="00F11FD1">
              <w:rPr>
                <w:rFonts w:ascii="Arial" w:hAnsi="Arial" w:cs="Arial"/>
              </w:rPr>
              <w:t xml:space="preserve"> </w:t>
            </w:r>
            <w:r w:rsidR="003505E0">
              <w:rPr>
                <w:rFonts w:ascii="Arial" w:hAnsi="Arial" w:cs="Arial"/>
              </w:rPr>
              <w:t>any new documents relevant to the decision</w:t>
            </w:r>
            <w:r w:rsidR="008E4629">
              <w:rPr>
                <w:rFonts w:ascii="Arial" w:hAnsi="Arial" w:cs="Arial"/>
              </w:rPr>
              <w:t xml:space="preserve"> and state if they are exempt</w:t>
            </w:r>
          </w:p>
        </w:tc>
        <w:tc>
          <w:tcPr>
            <w:tcW w:w="4962" w:type="dxa"/>
          </w:tcPr>
          <w:p w:rsidR="006F6326" w:rsidRPr="00A96C08" w:rsidRDefault="00871016" w:rsidP="008A22C6">
            <w:pPr>
              <w:rPr>
                <w:rFonts w:ascii="Arial" w:hAnsi="Arial" w:cs="Arial"/>
              </w:rPr>
            </w:pPr>
            <w:r>
              <w:rPr>
                <w:rFonts w:ascii="Arial" w:hAnsi="Arial" w:cs="Arial"/>
              </w:rPr>
              <w:t>None</w:t>
            </w:r>
          </w:p>
        </w:tc>
      </w:tr>
      <w:tr w:rsidR="006F6326" w:rsidTr="008E4629">
        <w:tc>
          <w:tcPr>
            <w:tcW w:w="4962" w:type="dxa"/>
          </w:tcPr>
          <w:p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r w:rsidRPr="003505E0">
              <w:rPr>
                <w:rFonts w:ascii="Arial" w:hAnsi="Arial" w:cs="Arial"/>
              </w:rPr>
              <w:t xml:space="preserve">(see notes </w:t>
            </w:r>
            <w:r w:rsidR="00C251F7">
              <w:rPr>
                <w:rFonts w:ascii="Arial" w:hAnsi="Arial" w:cs="Arial"/>
              </w:rPr>
              <w:t>below</w:t>
            </w:r>
            <w:r w:rsidRPr="003505E0">
              <w:rPr>
                <w:rFonts w:ascii="Arial" w:hAnsi="Arial" w:cs="Arial"/>
              </w:rPr>
              <w:t>):</w:t>
            </w:r>
          </w:p>
        </w:tc>
        <w:tc>
          <w:tcPr>
            <w:tcW w:w="4962" w:type="dxa"/>
          </w:tcPr>
          <w:p w:rsidR="006F6326" w:rsidRPr="00A96C08" w:rsidRDefault="005A0076" w:rsidP="008A22C6">
            <w:pPr>
              <w:rPr>
                <w:rFonts w:ascii="Arial" w:hAnsi="Arial" w:cs="Arial"/>
              </w:rPr>
            </w:pPr>
            <w:r>
              <w:rPr>
                <w:rFonts w:ascii="Arial" w:hAnsi="Arial" w:cs="Arial"/>
              </w:rPr>
              <w:t>Key</w:t>
            </w:r>
          </w:p>
        </w:tc>
      </w:tr>
      <w:tr w:rsidR="006F6326" w:rsidTr="008E4629">
        <w:tc>
          <w:tcPr>
            <w:tcW w:w="4962" w:type="dxa"/>
          </w:tcPr>
          <w:p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2+ wards are significantly affected</w:t>
            </w:r>
            <w:r w:rsidR="00C251F7">
              <w:rPr>
                <w:rFonts w:ascii="Arial" w:hAnsi="Arial" w:cs="Arial"/>
              </w:rPr>
              <w:t xml:space="preserve"> this will need to be treated as a key decision (see notes below)</w:t>
            </w:r>
          </w:p>
        </w:tc>
        <w:tc>
          <w:tcPr>
            <w:tcW w:w="4962" w:type="dxa"/>
          </w:tcPr>
          <w:p w:rsidR="006F6326" w:rsidRPr="00A96C08" w:rsidRDefault="005A0076" w:rsidP="005A0076">
            <w:pPr>
              <w:rPr>
                <w:rFonts w:ascii="Arial" w:hAnsi="Arial" w:cs="Arial"/>
              </w:rPr>
            </w:pPr>
            <w:r>
              <w:rPr>
                <w:rFonts w:ascii="Arial" w:hAnsi="Arial" w:cs="Arial"/>
              </w:rPr>
              <w:t>None – Thames Water remain as the wholesaler supplying water and treating wastewater to the Oxford City Council sites</w:t>
            </w:r>
            <w:r w:rsidR="00871016">
              <w:rPr>
                <w:rFonts w:ascii="Arial" w:hAnsi="Arial" w:cs="Arial"/>
              </w:rPr>
              <w:t>.</w:t>
            </w:r>
          </w:p>
        </w:tc>
      </w:tr>
      <w:tr w:rsidR="006F6326" w:rsidTr="008E4629">
        <w:tc>
          <w:tcPr>
            <w:tcW w:w="4962" w:type="dxa"/>
          </w:tcPr>
          <w:p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r w:rsidR="008E4629">
              <w:rPr>
                <w:rFonts w:ascii="Arial" w:hAnsi="Arial" w:cs="Arial"/>
              </w:rPr>
              <w:t>Please record any declared conflict of interest by any Cabinet Member consulted on the decision which relates to the decision.</w:t>
            </w:r>
          </w:p>
        </w:tc>
        <w:tc>
          <w:tcPr>
            <w:tcW w:w="4962" w:type="dxa"/>
          </w:tcPr>
          <w:p w:rsidR="006F6326" w:rsidRPr="00A96C08" w:rsidRDefault="002579D2" w:rsidP="008A22C6">
            <w:pPr>
              <w:rPr>
                <w:rFonts w:ascii="Arial" w:hAnsi="Arial" w:cs="Arial"/>
              </w:rPr>
            </w:pPr>
            <w:r>
              <w:rPr>
                <w:rFonts w:ascii="Arial" w:hAnsi="Arial" w:cs="Arial"/>
              </w:rPr>
              <w:t>None</w:t>
            </w:r>
          </w:p>
        </w:tc>
      </w:tr>
      <w:tr w:rsidR="00B87695" w:rsidTr="008E4629">
        <w:tc>
          <w:tcPr>
            <w:tcW w:w="4962"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lastRenderedPageBreak/>
              <w:t>Date:</w:t>
            </w:r>
          </w:p>
        </w:tc>
        <w:tc>
          <w:tcPr>
            <w:tcW w:w="4962" w:type="dxa"/>
          </w:tcPr>
          <w:p w:rsidR="004A049B" w:rsidRDefault="002579D2" w:rsidP="008A22C6">
            <w:pPr>
              <w:rPr>
                <w:rFonts w:ascii="Arial" w:hAnsi="Arial" w:cs="Arial"/>
              </w:rPr>
            </w:pPr>
            <w:r>
              <w:rPr>
                <w:rFonts w:ascii="Arial" w:hAnsi="Arial" w:cs="Arial"/>
              </w:rPr>
              <w:lastRenderedPageBreak/>
              <w:t>Andrew Sunderland</w:t>
            </w:r>
          </w:p>
          <w:p w:rsidR="002579D2" w:rsidRDefault="002579D2" w:rsidP="008A22C6">
            <w:pPr>
              <w:rPr>
                <w:rFonts w:ascii="Arial" w:hAnsi="Arial" w:cs="Arial"/>
              </w:rPr>
            </w:pPr>
            <w:r>
              <w:rPr>
                <w:rFonts w:ascii="Arial" w:hAnsi="Arial" w:cs="Arial"/>
              </w:rPr>
              <w:t>Energy Management Officer</w:t>
            </w:r>
          </w:p>
          <w:p w:rsidR="00393695" w:rsidRPr="00A96C08" w:rsidRDefault="00393695" w:rsidP="008A22C6">
            <w:pPr>
              <w:rPr>
                <w:rFonts w:ascii="Arial" w:hAnsi="Arial" w:cs="Arial"/>
              </w:rPr>
            </w:pPr>
            <w:r>
              <w:rPr>
                <w:rFonts w:ascii="Arial" w:hAnsi="Arial" w:cs="Arial"/>
              </w:rPr>
              <w:t>15 June 2021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p w:rsidR="00DD4885" w:rsidRDefault="00DD4885" w:rsidP="002611EB">
      <w:r>
        <w:rPr>
          <w:rFonts w:ascii="Arial" w:hAnsi="Arial" w:cs="Arial"/>
        </w:rPr>
        <w:t xml:space="preserve">Delegations made at meetings and the Council’s Finance Rules and Contract Rules (Parts 18 and 19 of the Constitution) stipulate who the decision maker must consult </w:t>
      </w:r>
      <w:r w:rsidR="00CD4BC9">
        <w:rPr>
          <w:rFonts w:ascii="Arial" w:hAnsi="Arial" w:cs="Arial"/>
        </w:rPr>
        <w:t xml:space="preserve">with </w:t>
      </w:r>
      <w:r>
        <w:rPr>
          <w:rFonts w:ascii="Arial" w:hAnsi="Arial" w:cs="Arial"/>
        </w:rPr>
        <w:t xml:space="preserve">before taking a decision. </w:t>
      </w:r>
      <w:r w:rsidR="009F6401">
        <w:rPr>
          <w:rFonts w:ascii="Arial" w:hAnsi="Arial" w:cs="Arial"/>
        </w:rPr>
        <w:t xml:space="preserve">The table below should be used to record their approval. </w:t>
      </w:r>
      <w:r w:rsidR="00CD4BC9">
        <w:rPr>
          <w:rFonts w:ascii="Arial" w:hAnsi="Arial" w:cs="Arial"/>
        </w:rPr>
        <w:t>The r</w:t>
      </w:r>
      <w:r>
        <w:rPr>
          <w:rFonts w:ascii="Arial" w:hAnsi="Arial" w:cs="Arial"/>
        </w:rPr>
        <w:t xml:space="preserve">elevant Cabinet Member(s) </w:t>
      </w:r>
      <w:r w:rsidR="00CD4BC9">
        <w:rPr>
          <w:rFonts w:ascii="Arial" w:hAnsi="Arial" w:cs="Arial"/>
        </w:rPr>
        <w:t xml:space="preserve">must be consulted on all </w:t>
      </w:r>
      <w:r>
        <w:rPr>
          <w:rFonts w:ascii="Arial" w:hAnsi="Arial" w:cs="Arial"/>
        </w:rPr>
        <w:t>decisions taken by officers.</w:t>
      </w:r>
      <w:r w:rsidRPr="00DD4885">
        <w:t xml:space="preserve"> </w:t>
      </w:r>
    </w:p>
    <w:p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776"/>
        <w:gridCol w:w="4050"/>
        <w:gridCol w:w="2097"/>
      </w:tblGrid>
      <w:tr w:rsidR="00DD4885" w:rsidRPr="00A96C08" w:rsidTr="00405321">
        <w:trPr>
          <w:trHeight w:val="516"/>
        </w:trPr>
        <w:tc>
          <w:tcPr>
            <w:tcW w:w="3828" w:type="dxa"/>
          </w:tcPr>
          <w:p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BF240D">
        <w:trPr>
          <w:trHeight w:val="516"/>
        </w:trPr>
        <w:tc>
          <w:tcPr>
            <w:tcW w:w="3828" w:type="dxa"/>
            <w:vAlign w:val="center"/>
          </w:tcPr>
          <w:p w:rsidR="00DD4885" w:rsidRPr="00BF240D" w:rsidRDefault="00DD4885" w:rsidP="00BF240D">
            <w:pPr>
              <w:spacing w:before="120" w:after="120"/>
              <w:rPr>
                <w:rFonts w:ascii="Arial" w:hAnsi="Arial" w:cs="Arial"/>
              </w:rPr>
            </w:pPr>
            <w:r w:rsidRPr="00405321">
              <w:rPr>
                <w:rFonts w:ascii="Arial" w:hAnsi="Arial" w:cs="Arial"/>
                <w:b/>
              </w:rPr>
              <w:t>Senior officer(s)</w:t>
            </w:r>
            <w:r w:rsidR="00BF240D">
              <w:rPr>
                <w:rFonts w:ascii="Arial" w:hAnsi="Arial" w:cs="Arial"/>
                <w:b/>
              </w:rPr>
              <w:t xml:space="preserve"> </w:t>
            </w:r>
            <w:r w:rsidR="00BF240D">
              <w:rPr>
                <w:rFonts w:ascii="Arial" w:hAnsi="Arial" w:cs="Arial"/>
              </w:rPr>
              <w:t>e.g. the relevant service manager / head of service where the decision maker is the Chief Executive or an Executive Director.</w:t>
            </w:r>
          </w:p>
        </w:tc>
        <w:tc>
          <w:tcPr>
            <w:tcW w:w="4111" w:type="dxa"/>
            <w:vAlign w:val="center"/>
          </w:tcPr>
          <w:p w:rsidR="00DD4885" w:rsidRPr="00A96C08" w:rsidRDefault="00D91724" w:rsidP="00DD4885">
            <w:pPr>
              <w:rPr>
                <w:rFonts w:ascii="Arial" w:hAnsi="Arial" w:cs="Arial"/>
              </w:rPr>
            </w:pPr>
            <w:r>
              <w:rPr>
                <w:rFonts w:ascii="Arial" w:hAnsi="Arial" w:cs="Arial"/>
              </w:rPr>
              <w:t>Tim Sadler, Transition Director</w:t>
            </w:r>
          </w:p>
        </w:tc>
        <w:tc>
          <w:tcPr>
            <w:tcW w:w="1984" w:type="dxa"/>
            <w:vAlign w:val="center"/>
          </w:tcPr>
          <w:p w:rsidR="00DD4885" w:rsidRPr="00A96C08" w:rsidRDefault="00D91724" w:rsidP="00DD4885">
            <w:pPr>
              <w:rPr>
                <w:rFonts w:ascii="Arial" w:hAnsi="Arial" w:cs="Arial"/>
              </w:rPr>
            </w:pPr>
            <w:r>
              <w:rPr>
                <w:rFonts w:ascii="Arial" w:hAnsi="Arial" w:cs="Arial"/>
              </w:rPr>
              <w:t>By email on 28 April 2021</w:t>
            </w:r>
          </w:p>
        </w:tc>
      </w:tr>
      <w:tr w:rsidR="00DD4885" w:rsidRPr="00A96C08" w:rsidTr="00BF240D">
        <w:trPr>
          <w:trHeight w:val="1161"/>
        </w:trPr>
        <w:tc>
          <w:tcPr>
            <w:tcW w:w="3828" w:type="dxa"/>
          </w:tcPr>
          <w:p w:rsidR="00DD4885" w:rsidRPr="00BF240D" w:rsidRDefault="00DD4885" w:rsidP="00BF240D">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r w:rsidR="00BF240D">
              <w:rPr>
                <w:rFonts w:ascii="Arial" w:hAnsi="Arial" w:cs="Arial"/>
              </w:rPr>
              <w:t>if required by the delegation / Constitution</w:t>
            </w:r>
          </w:p>
        </w:tc>
        <w:tc>
          <w:tcPr>
            <w:tcW w:w="4111" w:type="dxa"/>
            <w:vAlign w:val="center"/>
          </w:tcPr>
          <w:p w:rsidR="00DD4885" w:rsidRPr="00A96C08" w:rsidRDefault="00D91724" w:rsidP="00DD4885">
            <w:pPr>
              <w:rPr>
                <w:rFonts w:ascii="Arial" w:hAnsi="Arial" w:cs="Arial"/>
              </w:rPr>
            </w:pPr>
            <w:r>
              <w:rPr>
                <w:rFonts w:ascii="Arial" w:hAnsi="Arial" w:cs="Arial"/>
              </w:rPr>
              <w:t xml:space="preserve">Nigel Kennedy, </w:t>
            </w:r>
            <w:r w:rsidRPr="00D91724">
              <w:rPr>
                <w:rFonts w:ascii="Arial" w:hAnsi="Arial" w:cs="Arial"/>
              </w:rPr>
              <w:t>Head of Financial Services</w:t>
            </w:r>
          </w:p>
        </w:tc>
        <w:tc>
          <w:tcPr>
            <w:tcW w:w="1984" w:type="dxa"/>
            <w:vAlign w:val="center"/>
          </w:tcPr>
          <w:p w:rsidR="00DD4885" w:rsidRPr="00A96C08" w:rsidRDefault="00D91724" w:rsidP="00DD4885">
            <w:pPr>
              <w:rPr>
                <w:rFonts w:ascii="Arial" w:hAnsi="Arial" w:cs="Arial"/>
              </w:rPr>
            </w:pPr>
            <w:r>
              <w:rPr>
                <w:rFonts w:ascii="Arial" w:hAnsi="Arial" w:cs="Arial"/>
              </w:rPr>
              <w:t>By email on 22 April 2021</w:t>
            </w:r>
          </w:p>
        </w:tc>
      </w:tr>
      <w:tr w:rsidR="00DD4885" w:rsidRPr="00A96C08" w:rsidTr="00BF240D">
        <w:trPr>
          <w:trHeight w:val="834"/>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if required</w:t>
            </w:r>
            <w:r w:rsidR="00BF240D">
              <w:rPr>
                <w:rFonts w:ascii="Arial" w:hAnsi="Arial" w:cs="Arial"/>
              </w:rPr>
              <w:t xml:space="preserve"> by the delegation / Constitution</w:t>
            </w:r>
          </w:p>
        </w:tc>
        <w:tc>
          <w:tcPr>
            <w:tcW w:w="4111" w:type="dxa"/>
            <w:vAlign w:val="center"/>
          </w:tcPr>
          <w:p w:rsidR="00DD4885" w:rsidRPr="00A96C08" w:rsidRDefault="00D91724" w:rsidP="00DD4885">
            <w:pPr>
              <w:rPr>
                <w:rFonts w:ascii="Arial" w:hAnsi="Arial" w:cs="Arial"/>
              </w:rPr>
            </w:pPr>
            <w:r>
              <w:rPr>
                <w:rFonts w:ascii="Arial" w:hAnsi="Arial" w:cs="Arial"/>
              </w:rPr>
              <w:t>Susan Sale, Head of Law and Governance</w:t>
            </w:r>
          </w:p>
        </w:tc>
        <w:tc>
          <w:tcPr>
            <w:tcW w:w="1984" w:type="dxa"/>
            <w:vAlign w:val="center"/>
          </w:tcPr>
          <w:p w:rsidR="00DD4885" w:rsidRPr="00A96C08" w:rsidRDefault="00D91724" w:rsidP="00DD4885">
            <w:pPr>
              <w:rPr>
                <w:rFonts w:ascii="Arial" w:hAnsi="Arial" w:cs="Arial"/>
              </w:rPr>
            </w:pPr>
            <w:r>
              <w:rPr>
                <w:rFonts w:ascii="Arial" w:hAnsi="Arial" w:cs="Arial"/>
              </w:rPr>
              <w:t>By email on 22 April 2021</w:t>
            </w:r>
          </w:p>
        </w:tc>
      </w:tr>
      <w:tr w:rsidR="00DD4885" w:rsidRPr="00A96C08" w:rsidTr="00BF240D">
        <w:trPr>
          <w:trHeight w:val="562"/>
        </w:trPr>
        <w:tc>
          <w:tcPr>
            <w:tcW w:w="3828" w:type="dxa"/>
            <w:vAlign w:val="center"/>
          </w:tcPr>
          <w:p w:rsidR="00DD4885" w:rsidRPr="00405321" w:rsidRDefault="00DD4885" w:rsidP="00BF240D">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r w:rsidR="00BF240D" w:rsidRPr="00BF240D">
              <w:rPr>
                <w:rFonts w:ascii="Arial" w:hAnsi="Arial" w:cs="Arial"/>
              </w:rPr>
              <w:t>approval is</w:t>
            </w:r>
            <w:r w:rsidR="00BF240D">
              <w:rPr>
                <w:rFonts w:ascii="Arial" w:hAnsi="Arial" w:cs="Arial"/>
                <w:b/>
              </w:rPr>
              <w:t xml:space="preserve"> </w:t>
            </w:r>
            <w:r w:rsidR="00BF240D" w:rsidRPr="00BF240D">
              <w:rPr>
                <w:rFonts w:ascii="Arial" w:hAnsi="Arial" w:cs="Arial"/>
              </w:rPr>
              <w:t>required</w:t>
            </w:r>
            <w:r w:rsidR="00BF240D">
              <w:rPr>
                <w:rFonts w:ascii="Arial" w:hAnsi="Arial" w:cs="Arial"/>
              </w:rPr>
              <w:t xml:space="preserve"> for all decisions</w:t>
            </w:r>
          </w:p>
        </w:tc>
        <w:tc>
          <w:tcPr>
            <w:tcW w:w="4111" w:type="dxa"/>
            <w:vAlign w:val="center"/>
          </w:tcPr>
          <w:p w:rsidR="00DD4885" w:rsidRPr="00A96C08" w:rsidRDefault="00BF353B" w:rsidP="00337727">
            <w:pPr>
              <w:rPr>
                <w:rFonts w:ascii="Arial" w:hAnsi="Arial" w:cs="Arial"/>
              </w:rPr>
            </w:pPr>
            <w:r w:rsidRPr="00BF353B">
              <w:rPr>
                <w:rFonts w:ascii="Arial" w:hAnsi="Arial" w:cs="Arial"/>
              </w:rPr>
              <w:t>Councillor Tom Hayes, Cabinet Member for Green Transport and Zero Carbon Oxford</w:t>
            </w:r>
          </w:p>
        </w:tc>
        <w:tc>
          <w:tcPr>
            <w:tcW w:w="1984" w:type="dxa"/>
            <w:vAlign w:val="center"/>
          </w:tcPr>
          <w:p w:rsidR="00DD4885" w:rsidRPr="00A96C08" w:rsidRDefault="00BF353B" w:rsidP="00337727">
            <w:pPr>
              <w:rPr>
                <w:rFonts w:ascii="Arial" w:hAnsi="Arial" w:cs="Arial"/>
              </w:rPr>
            </w:pPr>
            <w:r>
              <w:rPr>
                <w:rFonts w:ascii="Arial" w:hAnsi="Arial" w:cs="Arial"/>
              </w:rPr>
              <w:t xml:space="preserve">Recommendation 3 as agreed in </w:t>
            </w:r>
            <w:r w:rsidR="00337727">
              <w:rPr>
                <w:rFonts w:ascii="Arial" w:hAnsi="Arial" w:cs="Arial"/>
              </w:rPr>
              <w:t>C</w:t>
            </w:r>
            <w:r>
              <w:rPr>
                <w:rFonts w:ascii="Arial" w:hAnsi="Arial" w:cs="Arial"/>
              </w:rPr>
              <w:t>abinet meeting on 22 January 2020</w:t>
            </w:r>
          </w:p>
        </w:tc>
      </w:tr>
      <w:tr w:rsidR="00DD4885" w:rsidRPr="00A96C08" w:rsidTr="00BF240D">
        <w:trPr>
          <w:trHeight w:val="516"/>
        </w:trPr>
        <w:tc>
          <w:tcPr>
            <w:tcW w:w="3828" w:type="dxa"/>
            <w:vAlign w:val="center"/>
          </w:tcPr>
          <w:p w:rsidR="00DD4885" w:rsidRPr="00405321" w:rsidRDefault="00DD4885" w:rsidP="00BF240D">
            <w:pPr>
              <w:spacing w:before="120" w:after="120"/>
              <w:rPr>
                <w:rFonts w:ascii="Arial" w:hAnsi="Arial" w:cs="Arial"/>
              </w:rPr>
            </w:pPr>
            <w:r w:rsidRPr="00405321">
              <w:rPr>
                <w:rFonts w:ascii="Arial" w:hAnsi="Arial" w:cs="Arial"/>
                <w:b/>
              </w:rPr>
              <w:lastRenderedPageBreak/>
              <w:t>Ward Member(s)</w:t>
            </w:r>
            <w:r w:rsidR="00405321">
              <w:rPr>
                <w:rFonts w:ascii="Arial" w:hAnsi="Arial" w:cs="Arial"/>
              </w:rPr>
              <w:t xml:space="preserve"> – </w:t>
            </w:r>
            <w:r w:rsidR="00405321" w:rsidRPr="00405321">
              <w:rPr>
                <w:rFonts w:ascii="Arial" w:hAnsi="Arial" w:cs="Arial"/>
              </w:rPr>
              <w:t xml:space="preserve">Ward </w:t>
            </w:r>
            <w:r w:rsidR="00405321">
              <w:rPr>
                <w:rFonts w:ascii="Arial" w:hAnsi="Arial" w:cs="Arial"/>
              </w:rPr>
              <w:t xml:space="preserve">Members </w:t>
            </w:r>
            <w:r w:rsidR="00405321" w:rsidRPr="00405321">
              <w:rPr>
                <w:rFonts w:ascii="Arial" w:hAnsi="Arial" w:cs="Arial"/>
              </w:rPr>
              <w:t>should be told in advance about anything which particularly</w:t>
            </w:r>
            <w:r w:rsidR="00405321">
              <w:rPr>
                <w:rFonts w:ascii="Arial" w:hAnsi="Arial" w:cs="Arial"/>
              </w:rPr>
              <w:t xml:space="preserve"> </w:t>
            </w:r>
            <w:r w:rsidR="00405321" w:rsidRPr="00405321">
              <w:rPr>
                <w:rFonts w:ascii="Arial" w:hAnsi="Arial" w:cs="Arial"/>
              </w:rPr>
              <w:t>affects their ward and which is potentially controversia</w:t>
            </w:r>
            <w:r w:rsidR="00405321">
              <w:rPr>
                <w:rFonts w:ascii="Arial" w:hAnsi="Arial" w:cs="Arial"/>
              </w:rPr>
              <w:t xml:space="preserve">l but </w:t>
            </w:r>
            <w:r w:rsidR="00CD4BC9">
              <w:rPr>
                <w:rFonts w:ascii="Arial" w:hAnsi="Arial" w:cs="Arial"/>
              </w:rPr>
              <w:t xml:space="preserve">please note that </w:t>
            </w:r>
            <w:r w:rsidR="00405321">
              <w:rPr>
                <w:rFonts w:ascii="Arial" w:hAnsi="Arial" w:cs="Arial"/>
              </w:rPr>
              <w:t>Cabinet Members must be consulted first.</w:t>
            </w:r>
          </w:p>
        </w:tc>
        <w:tc>
          <w:tcPr>
            <w:tcW w:w="4111" w:type="dxa"/>
            <w:vAlign w:val="center"/>
          </w:tcPr>
          <w:p w:rsidR="00DD4885" w:rsidRPr="00A96C08" w:rsidRDefault="00A513BB" w:rsidP="00DD4885">
            <w:pPr>
              <w:rPr>
                <w:rFonts w:ascii="Arial" w:hAnsi="Arial" w:cs="Arial"/>
              </w:rPr>
            </w:pPr>
            <w:r>
              <w:rPr>
                <w:rFonts w:ascii="Arial" w:hAnsi="Arial" w:cs="Arial"/>
              </w:rPr>
              <w:t>Not applicable</w:t>
            </w:r>
          </w:p>
        </w:tc>
        <w:tc>
          <w:tcPr>
            <w:tcW w:w="1984" w:type="dxa"/>
            <w:vAlign w:val="center"/>
          </w:tcPr>
          <w:p w:rsidR="00DD4885" w:rsidRPr="00A96C08" w:rsidRDefault="00D91724" w:rsidP="00DD4885">
            <w:pPr>
              <w:rPr>
                <w:rFonts w:ascii="Arial" w:hAnsi="Arial" w:cs="Arial"/>
              </w:rPr>
            </w:pPr>
            <w:r>
              <w:rPr>
                <w:rFonts w:ascii="Arial" w:hAnsi="Arial" w:cs="Arial"/>
              </w:rPr>
              <w:t>Not applicable</w:t>
            </w:r>
          </w:p>
        </w:tc>
      </w:tr>
    </w:tbl>
    <w:p w:rsidR="008E4629" w:rsidRDefault="008E4629" w:rsidP="002611EB">
      <w:pPr>
        <w:rPr>
          <w:rFonts w:ascii="Arial" w:hAnsi="Arial" w:cs="Arial"/>
        </w:rPr>
      </w:pPr>
    </w:p>
    <w:p w:rsidR="00BE1FD4" w:rsidRDefault="003505E0" w:rsidP="002611EB">
      <w:pPr>
        <w:rPr>
          <w:rFonts w:ascii="Arial" w:hAnsi="Arial" w:cs="Arial"/>
        </w:rPr>
      </w:pPr>
      <w:r w:rsidRPr="005E37E4">
        <w:rPr>
          <w:rFonts w:ascii="Arial" w:hAnsi="Arial" w:cs="Arial"/>
        </w:rPr>
        <w:t xml:space="preserve">This form must be completed and </w:t>
      </w:r>
      <w:r w:rsidR="00E270E5">
        <w:rPr>
          <w:rFonts w:ascii="Arial" w:hAnsi="Arial" w:cs="Arial"/>
        </w:rPr>
        <w:t>sent</w:t>
      </w:r>
      <w:r w:rsidRPr="005E37E4">
        <w:rPr>
          <w:rFonts w:ascii="Arial" w:hAnsi="Arial" w:cs="Arial"/>
        </w:rPr>
        <w:t xml:space="preserve"> to Committee </w:t>
      </w:r>
      <w:r w:rsidR="002611EB">
        <w:rPr>
          <w:rFonts w:ascii="Arial" w:hAnsi="Arial" w:cs="Arial"/>
        </w:rPr>
        <w:t xml:space="preserve">and Member </w:t>
      </w:r>
      <w:r w:rsidRPr="005E37E4">
        <w:rPr>
          <w:rFonts w:ascii="Arial" w:hAnsi="Arial" w:cs="Arial"/>
        </w:rPr>
        <w:t xml:space="preserve">Services </w:t>
      </w:r>
      <w:r w:rsidR="00616F3F">
        <w:rPr>
          <w:rFonts w:ascii="Arial" w:hAnsi="Arial" w:cs="Arial"/>
          <w:b/>
        </w:rPr>
        <w:t>as soon as reasonably practicable</w:t>
      </w:r>
      <w:r w:rsidRPr="00C6130E">
        <w:rPr>
          <w:rFonts w:ascii="Arial" w:hAnsi="Arial" w:cs="Arial"/>
          <w:b/>
        </w:rPr>
        <w:t xml:space="preserve"> </w:t>
      </w:r>
      <w:r w:rsidRPr="00C678ED">
        <w:rPr>
          <w:rFonts w:ascii="Arial" w:hAnsi="Arial" w:cs="Arial"/>
        </w:rPr>
        <w:t>after</w:t>
      </w:r>
      <w:r w:rsidRPr="005E37E4">
        <w:rPr>
          <w:rFonts w:ascii="Arial" w:hAnsi="Arial" w:cs="Arial"/>
        </w:rPr>
        <w:t xml:space="preserve"> the decision is made</w:t>
      </w:r>
      <w:r w:rsidR="00532DF2" w:rsidRPr="005E37E4">
        <w:rPr>
          <w:rFonts w:ascii="Arial" w:hAnsi="Arial" w:cs="Arial"/>
        </w:rPr>
        <w:t>.</w:t>
      </w:r>
      <w:r w:rsidR="00834D72">
        <w:rPr>
          <w:rFonts w:ascii="Arial" w:hAnsi="Arial" w:cs="Arial"/>
        </w:rPr>
        <w:t xml:space="preserve"> P</w:t>
      </w:r>
      <w:r w:rsidR="00532DF2">
        <w:rPr>
          <w:rFonts w:ascii="Arial" w:hAnsi="Arial" w:cs="Arial"/>
        </w:rPr>
        <w:t xml:space="preserve">rompt notification is particularly important for </w:t>
      </w:r>
      <w:r w:rsidR="00532DF2" w:rsidRPr="000173BF">
        <w:rPr>
          <w:rFonts w:ascii="Arial" w:hAnsi="Arial" w:cs="Arial"/>
          <w:b/>
        </w:rPr>
        <w:t>key decisions</w:t>
      </w:r>
      <w:r w:rsidR="00532DF2">
        <w:rPr>
          <w:rFonts w:ascii="Arial" w:hAnsi="Arial" w:cs="Arial"/>
        </w:rPr>
        <w:t xml:space="preserve"> </w:t>
      </w:r>
      <w:r w:rsidR="005C6416">
        <w:rPr>
          <w:rFonts w:ascii="Arial" w:hAnsi="Arial" w:cs="Arial"/>
        </w:rPr>
        <w:t xml:space="preserve">which are subject to call-in, </w:t>
      </w:r>
      <w:r w:rsidR="00532DF2">
        <w:rPr>
          <w:rFonts w:ascii="Arial" w:hAnsi="Arial" w:cs="Arial"/>
        </w:rPr>
        <w:t xml:space="preserve">as the </w:t>
      </w:r>
      <w:r w:rsidR="005C6416">
        <w:rPr>
          <w:rFonts w:ascii="Arial" w:hAnsi="Arial" w:cs="Arial"/>
        </w:rPr>
        <w:t xml:space="preserve">call-in </w:t>
      </w:r>
      <w:r w:rsidR="00532DF2">
        <w:rPr>
          <w:rFonts w:ascii="Arial" w:hAnsi="Arial" w:cs="Arial"/>
        </w:rPr>
        <w:t xml:space="preserve">deadline is 2 working days </w:t>
      </w:r>
      <w:r w:rsidR="002611EB">
        <w:rPr>
          <w:rFonts w:ascii="Arial" w:hAnsi="Arial" w:cs="Arial"/>
        </w:rPr>
        <w:t>from the</w:t>
      </w:r>
      <w:r w:rsidR="00532DF2">
        <w:rPr>
          <w:rFonts w:ascii="Arial" w:hAnsi="Arial" w:cs="Arial"/>
        </w:rPr>
        <w:t xml:space="preserve"> decision </w:t>
      </w:r>
      <w:r w:rsidR="000173BF">
        <w:rPr>
          <w:rFonts w:ascii="Arial" w:hAnsi="Arial" w:cs="Arial"/>
        </w:rPr>
        <w:t xml:space="preserve">notice </w:t>
      </w:r>
      <w:r w:rsidR="00532DF2">
        <w:rPr>
          <w:rFonts w:ascii="Arial" w:hAnsi="Arial" w:cs="Arial"/>
        </w:rPr>
        <w:t>being published.</w:t>
      </w:r>
      <w:r w:rsidR="00834D72">
        <w:rPr>
          <w:rFonts w:ascii="Arial" w:hAnsi="Arial" w:cs="Arial"/>
        </w:rPr>
        <w:t xml:space="preserve"> </w:t>
      </w:r>
      <w:r w:rsidR="006F6731">
        <w:rPr>
          <w:rFonts w:ascii="Arial" w:hAnsi="Arial" w:cs="Arial"/>
        </w:rPr>
        <w:t>Before completing the form p</w:t>
      </w:r>
      <w:r w:rsidR="006F6731" w:rsidRPr="006F6731">
        <w:rPr>
          <w:rFonts w:ascii="Arial" w:hAnsi="Arial" w:cs="Arial"/>
        </w:rPr>
        <w:t>le</w:t>
      </w:r>
      <w:r w:rsidR="002611EB">
        <w:rPr>
          <w:rFonts w:ascii="Arial" w:hAnsi="Arial" w:cs="Arial"/>
        </w:rPr>
        <w:t>ase refer to the notes below</w:t>
      </w:r>
    </w:p>
    <w:p w:rsidR="00424A92" w:rsidRPr="00532DF2" w:rsidRDefault="00424A92" w:rsidP="00231385">
      <w:pPr>
        <w:ind w:left="-426"/>
        <w:rPr>
          <w:rFonts w:ascii="Arial" w:hAnsi="Arial" w:cs="Arial"/>
        </w:rPr>
      </w:pPr>
    </w:p>
    <w:p w:rsidR="00BF240D" w:rsidRDefault="00BF240D" w:rsidP="00BE1FD4">
      <w:pPr>
        <w:rPr>
          <w:rFonts w:ascii="Arial" w:hAnsi="Arial" w:cs="Arial"/>
          <w:b/>
          <w:sz w:val="28"/>
          <w:szCs w:val="28"/>
        </w:rPr>
      </w:pPr>
    </w:p>
    <w:p w:rsidR="00BE1FD4" w:rsidRDefault="003505E0" w:rsidP="00BE1FD4">
      <w:pPr>
        <w:rPr>
          <w:rFonts w:ascii="Arial" w:hAnsi="Arial" w:cs="Arial"/>
          <w:b/>
          <w:sz w:val="28"/>
          <w:szCs w:val="28"/>
        </w:rPr>
      </w:pPr>
      <w:r w:rsidRPr="003505E0">
        <w:rPr>
          <w:rFonts w:ascii="Arial" w:hAnsi="Arial" w:cs="Arial"/>
          <w:b/>
          <w:sz w:val="28"/>
          <w:szCs w:val="28"/>
        </w:rPr>
        <w:t>NOTES</w:t>
      </w:r>
    </w:p>
    <w:p w:rsidR="00231385" w:rsidRDefault="00231385" w:rsidP="00BE1FD4">
      <w:pPr>
        <w:rPr>
          <w:rFonts w:ascii="Arial" w:hAnsi="Arial" w:cs="Arial"/>
          <w:b/>
          <w:sz w:val="28"/>
          <w:szCs w:val="28"/>
        </w:rPr>
      </w:pPr>
    </w:p>
    <w:p w:rsidR="004B1944" w:rsidRDefault="00616F3F" w:rsidP="00616F3F">
      <w:pPr>
        <w:rPr>
          <w:rFonts w:ascii="Arial" w:hAnsi="Arial" w:cs="Arial"/>
        </w:rPr>
      </w:pPr>
      <w:r w:rsidRPr="00616F3F">
        <w:rPr>
          <w:rFonts w:ascii="Arial" w:hAnsi="Arial" w:cs="Arial"/>
        </w:rPr>
        <w:t>The law</w:t>
      </w:r>
      <w:r>
        <w:rPr>
          <w:rStyle w:val="FootnoteReference"/>
          <w:rFonts w:ascii="Arial" w:hAnsi="Arial" w:cs="Arial"/>
        </w:rPr>
        <w:footnoteReference w:id="1"/>
      </w:r>
      <w:r w:rsidRPr="00616F3F">
        <w:rPr>
          <w:rFonts w:ascii="Arial" w:hAnsi="Arial" w:cs="Arial"/>
        </w:rPr>
        <w:t xml:space="preserve"> requires the Council to record executive and non-executive decisions taken by officers under delegated powers and to publish them on the Council’s website.</w:t>
      </w:r>
      <w:r w:rsidR="004B1944">
        <w:rPr>
          <w:rFonts w:ascii="Arial" w:hAnsi="Arial" w:cs="Arial"/>
        </w:rPr>
        <w:t xml:space="preserve">  </w:t>
      </w:r>
    </w:p>
    <w:p w:rsidR="004B1944" w:rsidRDefault="004B1944" w:rsidP="00616F3F">
      <w:pPr>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apply </w:t>
      </w:r>
      <w:r w:rsidRPr="00616F3F">
        <w:rPr>
          <w:rFonts w:ascii="Arial" w:hAnsi="Arial" w:cs="Arial"/>
        </w:rPr>
        <w:t xml:space="preserve">to decisions that would have been taken by Council or the </w:t>
      </w:r>
      <w:r w:rsidR="00834D72">
        <w:rPr>
          <w:rFonts w:ascii="Arial" w:hAnsi="Arial" w:cs="Arial"/>
        </w:rPr>
        <w:t>Cabinet</w:t>
      </w:r>
      <w:r w:rsidRPr="00616F3F">
        <w:rPr>
          <w:rFonts w:ascii="Arial" w:hAnsi="Arial" w:cs="Arial"/>
        </w:rPr>
        <w:t xml:space="preserve"> if delegated powers had not been given to an officer:</w:t>
      </w:r>
    </w:p>
    <w:p w:rsidR="00616F3F" w:rsidRDefault="00616F3F" w:rsidP="00616F3F">
      <w:pPr>
        <w:numPr>
          <w:ilvl w:val="0"/>
          <w:numId w:val="5"/>
        </w:numPr>
        <w:rPr>
          <w:rFonts w:ascii="Arial" w:hAnsi="Arial" w:cs="Arial"/>
        </w:rPr>
      </w:pPr>
      <w:r w:rsidRPr="00616F3F">
        <w:rPr>
          <w:rFonts w:ascii="Arial" w:hAnsi="Arial" w:cs="Arial"/>
        </w:rPr>
        <w:t xml:space="preserve">under </w:t>
      </w:r>
      <w:r w:rsidR="002611EB">
        <w:rPr>
          <w:rFonts w:ascii="Arial" w:hAnsi="Arial" w:cs="Arial"/>
        </w:rPr>
        <w:t>an express</w:t>
      </w:r>
      <w:r w:rsidRPr="00616F3F">
        <w:rPr>
          <w:rFonts w:ascii="Arial" w:hAnsi="Arial" w:cs="Arial"/>
        </w:rPr>
        <w:t xml:space="preserve"> delegation granted at a meeting of </w:t>
      </w:r>
      <w:r w:rsidR="00834D72">
        <w:rPr>
          <w:rFonts w:ascii="Arial" w:hAnsi="Arial" w:cs="Arial"/>
        </w:rPr>
        <w:t>Cabinet</w:t>
      </w:r>
      <w:r w:rsidR="002611EB">
        <w:rPr>
          <w:rFonts w:ascii="Arial" w:hAnsi="Arial" w:cs="Arial"/>
        </w:rPr>
        <w:t>, Council or a Committee.</w:t>
      </w:r>
    </w:p>
    <w:p w:rsidR="00616F3F" w:rsidRPr="00616F3F" w:rsidRDefault="00616F3F" w:rsidP="00616F3F">
      <w:pPr>
        <w:numPr>
          <w:ilvl w:val="0"/>
          <w:numId w:val="5"/>
        </w:numPr>
        <w:rPr>
          <w:rFonts w:ascii="Arial" w:hAnsi="Arial" w:cs="Arial"/>
        </w:rPr>
      </w:pPr>
      <w:r w:rsidRPr="00616F3F">
        <w:rPr>
          <w:rFonts w:ascii="Arial" w:hAnsi="Arial" w:cs="Arial"/>
        </w:rPr>
        <w:t>under a general delegation (where responsibility is delegated in the Constitution) and the effect of the decision is to:</w:t>
      </w:r>
    </w:p>
    <w:p w:rsidR="00616F3F" w:rsidRPr="00616F3F" w:rsidRDefault="00616F3F" w:rsidP="002611EB">
      <w:pPr>
        <w:numPr>
          <w:ilvl w:val="1"/>
          <w:numId w:val="5"/>
        </w:numPr>
        <w:rPr>
          <w:rFonts w:ascii="Arial" w:hAnsi="Arial" w:cs="Arial"/>
        </w:rPr>
      </w:pPr>
      <w:r w:rsidRPr="00616F3F">
        <w:rPr>
          <w:rFonts w:ascii="Arial" w:hAnsi="Arial" w:cs="Arial"/>
        </w:rPr>
        <w:t>grant a permission or licence;</w:t>
      </w:r>
    </w:p>
    <w:p w:rsidR="00616F3F" w:rsidRPr="00616F3F" w:rsidRDefault="00616F3F" w:rsidP="002611EB">
      <w:pPr>
        <w:numPr>
          <w:ilvl w:val="1"/>
          <w:numId w:val="5"/>
        </w:numPr>
        <w:rPr>
          <w:rFonts w:ascii="Arial" w:hAnsi="Arial" w:cs="Arial"/>
        </w:rPr>
      </w:pPr>
      <w:r w:rsidRPr="00616F3F">
        <w:rPr>
          <w:rFonts w:ascii="Arial" w:hAnsi="Arial" w:cs="Arial"/>
        </w:rPr>
        <w:t>affect the rights of an individual;</w:t>
      </w:r>
    </w:p>
    <w:p w:rsidR="00616F3F" w:rsidRDefault="00616F3F" w:rsidP="002611EB">
      <w:pPr>
        <w:numPr>
          <w:ilvl w:val="1"/>
          <w:numId w:val="5"/>
        </w:numPr>
        <w:rPr>
          <w:rFonts w:ascii="Arial" w:hAnsi="Arial" w:cs="Arial"/>
        </w:rPr>
      </w:pPr>
      <w:r w:rsidRPr="00616F3F">
        <w:rPr>
          <w:rFonts w:ascii="Arial" w:hAnsi="Arial" w:cs="Arial"/>
        </w:rPr>
        <w:t>award a contract or incur expenditure wi</w:t>
      </w:r>
      <w:r>
        <w:rPr>
          <w:rFonts w:ascii="Arial" w:hAnsi="Arial" w:cs="Arial"/>
        </w:rPr>
        <w:t>th a value in excess of £10,000;</w:t>
      </w:r>
    </w:p>
    <w:p w:rsidR="00616F3F" w:rsidRDefault="00616F3F" w:rsidP="002611EB">
      <w:pPr>
        <w:numPr>
          <w:ilvl w:val="1"/>
          <w:numId w:val="5"/>
        </w:numPr>
        <w:rPr>
          <w:rFonts w:ascii="Arial" w:hAnsi="Arial" w:cs="Arial"/>
        </w:rPr>
      </w:pPr>
      <w:r>
        <w:rPr>
          <w:rFonts w:ascii="Arial" w:hAnsi="Arial" w:cs="Arial"/>
        </w:rPr>
        <w:t>award</w:t>
      </w:r>
      <w:r w:rsidRPr="00616F3F">
        <w:rPr>
          <w:rFonts w:ascii="Arial" w:hAnsi="Arial" w:cs="Arial"/>
        </w:rPr>
        <w:t xml:space="preserve"> a contract with a value in excess of £10,000 but less than £</w:t>
      </w:r>
      <w:r w:rsidR="003547CD">
        <w:rPr>
          <w:rFonts w:ascii="Arial" w:hAnsi="Arial" w:cs="Arial"/>
        </w:rPr>
        <w:t>1,0</w:t>
      </w:r>
      <w:r w:rsidRPr="00616F3F">
        <w:rPr>
          <w:rFonts w:ascii="Arial" w:hAnsi="Arial" w:cs="Arial"/>
        </w:rPr>
        <w:t>00,000;</w:t>
      </w:r>
    </w:p>
    <w:p w:rsidR="00616F3F" w:rsidRDefault="00616F3F" w:rsidP="002611EB">
      <w:pPr>
        <w:numPr>
          <w:ilvl w:val="1"/>
          <w:numId w:val="5"/>
        </w:numPr>
        <w:rPr>
          <w:rFonts w:ascii="Arial" w:hAnsi="Arial" w:cs="Arial"/>
        </w:rPr>
      </w:pPr>
      <w:r>
        <w:rPr>
          <w:rFonts w:ascii="Arial" w:hAnsi="Arial" w:cs="Arial"/>
        </w:rPr>
        <w:t>acquire</w:t>
      </w:r>
      <w:r w:rsidRPr="00616F3F">
        <w:rPr>
          <w:rFonts w:ascii="Arial" w:hAnsi="Arial" w:cs="Arial"/>
        </w:rPr>
        <w:t xml:space="preserve"> or dispos</w:t>
      </w:r>
      <w:r>
        <w:rPr>
          <w:rFonts w:ascii="Arial" w:hAnsi="Arial" w:cs="Arial"/>
        </w:rPr>
        <w:t>e</w:t>
      </w:r>
      <w:r w:rsidRPr="00616F3F">
        <w:rPr>
          <w:rFonts w:ascii="Arial" w:hAnsi="Arial" w:cs="Arial"/>
        </w:rPr>
        <w:t xml:space="preserve"> of freeholds or leaseholds with a consideration or premium in excess of £10,000 but less than £500,000;</w:t>
      </w:r>
    </w:p>
    <w:p w:rsidR="00616F3F" w:rsidRDefault="00616F3F" w:rsidP="002611EB">
      <w:pPr>
        <w:numPr>
          <w:ilvl w:val="1"/>
          <w:numId w:val="5"/>
        </w:numPr>
        <w:rPr>
          <w:rFonts w:ascii="Arial" w:hAnsi="Arial" w:cs="Arial"/>
        </w:rPr>
      </w:pPr>
      <w:r>
        <w:rPr>
          <w:rFonts w:ascii="Arial" w:hAnsi="Arial" w:cs="Arial"/>
        </w:rPr>
        <w:lastRenderedPageBreak/>
        <w:t>grant to new tenants or dispose</w:t>
      </w:r>
      <w:r w:rsidRPr="00616F3F">
        <w:rPr>
          <w:rFonts w:ascii="Arial" w:hAnsi="Arial" w:cs="Arial"/>
        </w:rPr>
        <w:t xml:space="preserve"> of leases with a rental value in excess of </w:t>
      </w:r>
      <w:r>
        <w:rPr>
          <w:rFonts w:ascii="Arial" w:hAnsi="Arial" w:cs="Arial"/>
        </w:rPr>
        <w:t>£10,000 but less than £125,000 (t</w:t>
      </w:r>
      <w:r w:rsidRPr="00616F3F">
        <w:rPr>
          <w:rFonts w:ascii="Arial" w:hAnsi="Arial" w:cs="Arial"/>
        </w:rPr>
        <w:t>his excludes assignments, holding over and rent reviews</w:t>
      </w:r>
      <w:r>
        <w:rPr>
          <w:rFonts w:ascii="Arial" w:hAnsi="Arial" w:cs="Arial"/>
        </w:rPr>
        <w:t>)</w:t>
      </w:r>
      <w:r w:rsidRPr="00616F3F">
        <w:rPr>
          <w:rFonts w:ascii="Arial" w:hAnsi="Arial" w:cs="Arial"/>
        </w:rPr>
        <w:t>;</w:t>
      </w:r>
    </w:p>
    <w:p w:rsidR="00616F3F" w:rsidRDefault="00616F3F" w:rsidP="002611EB">
      <w:pPr>
        <w:numPr>
          <w:ilvl w:val="1"/>
          <w:numId w:val="5"/>
        </w:numPr>
        <w:rPr>
          <w:rFonts w:ascii="Arial" w:hAnsi="Arial" w:cs="Arial"/>
        </w:rPr>
      </w:pPr>
      <w:r>
        <w:rPr>
          <w:rFonts w:ascii="Arial" w:hAnsi="Arial" w:cs="Arial"/>
        </w:rPr>
        <w:t>grant</w:t>
      </w:r>
      <w:r w:rsidRPr="00616F3F">
        <w:rPr>
          <w:rFonts w:ascii="Arial" w:hAnsi="Arial" w:cs="Arial"/>
        </w:rPr>
        <w:t xml:space="preserve"> ‘project approval’ for projects in excess of £10,000 but less than £500,000;</w:t>
      </w:r>
    </w:p>
    <w:p w:rsidR="00616F3F" w:rsidRPr="00616F3F" w:rsidRDefault="00616F3F" w:rsidP="002611EB">
      <w:pPr>
        <w:numPr>
          <w:ilvl w:val="1"/>
          <w:numId w:val="5"/>
        </w:numPr>
        <w:rPr>
          <w:rFonts w:ascii="Arial" w:hAnsi="Arial" w:cs="Arial"/>
        </w:rPr>
      </w:pPr>
      <w:r>
        <w:rPr>
          <w:rFonts w:ascii="Arial" w:hAnsi="Arial" w:cs="Arial"/>
        </w:rPr>
        <w:t>m</w:t>
      </w:r>
      <w:r w:rsidRPr="00616F3F">
        <w:rPr>
          <w:rFonts w:ascii="Arial" w:hAnsi="Arial" w:cs="Arial"/>
        </w:rPr>
        <w:t>ak</w:t>
      </w:r>
      <w:r>
        <w:rPr>
          <w:rFonts w:ascii="Arial" w:hAnsi="Arial" w:cs="Arial"/>
        </w:rPr>
        <w:t>e</w:t>
      </w:r>
      <w:r w:rsidRPr="00616F3F">
        <w:rPr>
          <w:rFonts w:ascii="Arial" w:hAnsi="Arial" w:cs="Arial"/>
        </w:rPr>
        <w:t xml:space="preserve"> a regulatory order which affects a number of people, for example a Public</w:t>
      </w:r>
      <w:r>
        <w:rPr>
          <w:rFonts w:ascii="Arial" w:hAnsi="Arial" w:cs="Arial"/>
        </w:rPr>
        <w:t xml:space="preserve"> </w:t>
      </w:r>
      <w:r w:rsidRPr="00616F3F">
        <w:rPr>
          <w:rFonts w:ascii="Arial" w:hAnsi="Arial" w:cs="Arial"/>
        </w:rPr>
        <w:t>Space Protection Order or a Parking Place Order;</w:t>
      </w:r>
    </w:p>
    <w:p w:rsidR="00616F3F" w:rsidRPr="00616F3F" w:rsidRDefault="00616F3F" w:rsidP="00616F3F">
      <w:pPr>
        <w:ind w:left="1440"/>
        <w:rPr>
          <w:rFonts w:ascii="Arial" w:hAnsi="Arial" w:cs="Arial"/>
        </w:rPr>
      </w:pPr>
    </w:p>
    <w:p w:rsidR="00616F3F" w:rsidRDefault="00616F3F" w:rsidP="00616F3F">
      <w:pPr>
        <w:rPr>
          <w:rFonts w:ascii="Arial" w:hAnsi="Arial" w:cs="Arial"/>
        </w:rPr>
      </w:pPr>
      <w:r w:rsidRPr="00616F3F">
        <w:rPr>
          <w:rFonts w:ascii="Arial" w:hAnsi="Arial" w:cs="Arial"/>
        </w:rPr>
        <w:t>These requirements </w:t>
      </w:r>
      <w:r w:rsidRPr="00616F3F">
        <w:rPr>
          <w:rFonts w:ascii="Arial" w:hAnsi="Arial" w:cs="Arial"/>
          <w:b/>
          <w:bCs/>
        </w:rPr>
        <w:t>do not</w:t>
      </w:r>
      <w:r w:rsidRPr="00616F3F">
        <w:rPr>
          <w:rFonts w:ascii="Arial" w:hAnsi="Arial" w:cs="Arial"/>
        </w:rPr>
        <w:t> apply to:</w:t>
      </w:r>
    </w:p>
    <w:p w:rsidR="00616F3F" w:rsidRDefault="00616F3F" w:rsidP="00616F3F">
      <w:pPr>
        <w:numPr>
          <w:ilvl w:val="0"/>
          <w:numId w:val="6"/>
        </w:numPr>
        <w:rPr>
          <w:rFonts w:ascii="Arial" w:hAnsi="Arial" w:cs="Arial"/>
        </w:rPr>
      </w:pPr>
      <w:r w:rsidRPr="00616F3F">
        <w:rPr>
          <w:rFonts w:ascii="Arial" w:hAnsi="Arial" w:cs="Arial"/>
        </w:rPr>
        <w:t>planning and licencing matters where there are established arrangements for recording decisions: or</w:t>
      </w:r>
    </w:p>
    <w:p w:rsidR="00616F3F" w:rsidRPr="00616F3F" w:rsidRDefault="00616F3F" w:rsidP="00616F3F">
      <w:pPr>
        <w:numPr>
          <w:ilvl w:val="0"/>
          <w:numId w:val="6"/>
        </w:numPr>
        <w:rPr>
          <w:rFonts w:ascii="Arial" w:hAnsi="Arial" w:cs="Arial"/>
        </w:rPr>
      </w:pPr>
      <w:r w:rsidRPr="00616F3F">
        <w:rPr>
          <w:rFonts w:ascii="Arial" w:hAnsi="Arial" w:cs="Arial"/>
        </w:rPr>
        <w:t>decision</w:t>
      </w:r>
      <w:r w:rsidR="004B1944">
        <w:rPr>
          <w:rFonts w:ascii="Arial" w:hAnsi="Arial" w:cs="Arial"/>
        </w:rPr>
        <w:t>s</w:t>
      </w:r>
      <w:r w:rsidRPr="00616F3F">
        <w:rPr>
          <w:rFonts w:ascii="Arial" w:hAnsi="Arial" w:cs="Arial"/>
        </w:rPr>
        <w:t xml:space="preserve"> which are purely administrative or operational in nature</w:t>
      </w:r>
    </w:p>
    <w:p w:rsidR="00616F3F" w:rsidRDefault="00616F3F" w:rsidP="00616F3F">
      <w:pPr>
        <w:rPr>
          <w:rFonts w:ascii="Arial" w:hAnsi="Arial" w:cs="Arial"/>
        </w:rPr>
      </w:pPr>
    </w:p>
    <w:p w:rsidR="004B1944" w:rsidRPr="004B1944" w:rsidRDefault="00231385" w:rsidP="004B1944">
      <w:pPr>
        <w:rPr>
          <w:rFonts w:ascii="Arial" w:hAnsi="Arial" w:cs="Arial"/>
        </w:rPr>
      </w:pPr>
      <w:r w:rsidRPr="00231385">
        <w:rPr>
          <w:rFonts w:ascii="Arial" w:hAnsi="Arial" w:cs="Arial"/>
        </w:rPr>
        <w:t xml:space="preserve">Officers making </w:t>
      </w:r>
      <w:r w:rsidR="005C6416">
        <w:rPr>
          <w:rFonts w:ascii="Arial" w:hAnsi="Arial" w:cs="Arial"/>
        </w:rPr>
        <w:t>such</w:t>
      </w:r>
      <w:r w:rsidRPr="00231385">
        <w:rPr>
          <w:rFonts w:ascii="Arial" w:hAnsi="Arial" w:cs="Arial"/>
        </w:rPr>
        <w:t xml:space="preserve"> decisions must complete a written statement containing details of the decision taken</w:t>
      </w:r>
      <w:r w:rsidRPr="00231385">
        <w:rPr>
          <w:rFonts w:ascii="Arial" w:hAnsi="Arial" w:cs="Arial"/>
          <w:b/>
        </w:rPr>
        <w:t>.</w:t>
      </w:r>
      <w:r w:rsidR="004B1944">
        <w:rPr>
          <w:rFonts w:ascii="Arial" w:hAnsi="Arial" w:cs="Arial"/>
          <w:b/>
        </w:rPr>
        <w:t xml:space="preserve"> </w:t>
      </w:r>
      <w:r w:rsidR="004B1944" w:rsidRPr="004B1944">
        <w:rPr>
          <w:rFonts w:ascii="Arial" w:hAnsi="Arial" w:cs="Arial"/>
        </w:rPr>
        <w:t>A copy of this decision</w:t>
      </w:r>
      <w:r w:rsidR="004B1944">
        <w:rPr>
          <w:rFonts w:ascii="Arial" w:hAnsi="Arial" w:cs="Arial"/>
        </w:rPr>
        <w:t xml:space="preserve"> notice</w:t>
      </w:r>
      <w:r w:rsidR="004B1944" w:rsidRPr="004B1944">
        <w:rPr>
          <w:rFonts w:ascii="Arial" w:hAnsi="Arial" w:cs="Arial"/>
        </w:rPr>
        <w:t xml:space="preserve"> must be retained by the relevant service for at least 6 years and any background papers for 4 years.</w:t>
      </w:r>
    </w:p>
    <w:p w:rsidR="00E97F84" w:rsidRDefault="00E97F84" w:rsidP="008A22C6"/>
    <w:p w:rsidR="000445D4" w:rsidRDefault="000445D4" w:rsidP="008A22C6">
      <w:pPr>
        <w:rPr>
          <w:rFonts w:ascii="Arial" w:hAnsi="Arial" w:cs="Arial"/>
          <w:b/>
        </w:rPr>
      </w:pPr>
      <w:r w:rsidRPr="000445D4">
        <w:rPr>
          <w:rFonts w:ascii="Arial" w:hAnsi="Arial" w:cs="Arial"/>
          <w:b/>
        </w:rPr>
        <w:t>Exempt or Confidential information</w:t>
      </w:r>
    </w:p>
    <w:p w:rsidR="00B15340" w:rsidRDefault="00B15340" w:rsidP="008A22C6">
      <w:pPr>
        <w:rPr>
          <w:rFonts w:ascii="Arial" w:hAnsi="Arial" w:cs="Arial"/>
          <w:b/>
        </w:rPr>
      </w:pPr>
    </w:p>
    <w:p w:rsidR="00B15340" w:rsidRPr="004B1944" w:rsidRDefault="00AC5899" w:rsidP="004B1944">
      <w:pPr>
        <w:rPr>
          <w:rFonts w:ascii="Arial" w:hAnsi="Arial" w:cs="Arial"/>
        </w:rPr>
      </w:pPr>
      <w:r w:rsidRPr="004B1944">
        <w:rPr>
          <w:rFonts w:ascii="Arial" w:hAnsi="Arial" w:cs="Arial"/>
        </w:rPr>
        <w:t xml:space="preserve">Information relating to a </w:t>
      </w:r>
      <w:r w:rsidR="00801BEB" w:rsidRPr="004B1944">
        <w:rPr>
          <w:rFonts w:ascii="Arial" w:hAnsi="Arial" w:cs="Arial"/>
        </w:rPr>
        <w:t xml:space="preserve">delegated </w:t>
      </w:r>
      <w:r w:rsidRPr="004B1944">
        <w:rPr>
          <w:rFonts w:ascii="Arial" w:hAnsi="Arial" w:cs="Arial"/>
        </w:rPr>
        <w:t>officer decision does not have to be made public if it is exempt or confidential.</w:t>
      </w:r>
      <w:r w:rsidR="004B1944" w:rsidRPr="004B1944">
        <w:rPr>
          <w:rFonts w:ascii="Arial" w:hAnsi="Arial" w:cs="Arial"/>
        </w:rPr>
        <w:t xml:space="preserve"> </w:t>
      </w:r>
      <w:r w:rsidR="00616F3F" w:rsidRPr="004B1944">
        <w:rPr>
          <w:rFonts w:ascii="Arial" w:hAnsi="Arial" w:cs="Arial"/>
        </w:rPr>
        <w:t>Summary information from this decision sheet (excluding all exempt or confidential information) will be published on the Council’s website.</w:t>
      </w:r>
    </w:p>
    <w:p w:rsidR="005C6416" w:rsidRDefault="005C6416" w:rsidP="00B15340">
      <w:pPr>
        <w:rPr>
          <w:rFonts w:ascii="Arial" w:hAnsi="Arial" w:cs="Arial"/>
        </w:rPr>
      </w:pPr>
    </w:p>
    <w:p w:rsidR="005C6416" w:rsidRDefault="005C6416" w:rsidP="005C6416">
      <w:pPr>
        <w:rPr>
          <w:rFonts w:ascii="Arial" w:hAnsi="Arial" w:cs="Arial"/>
          <w:b/>
        </w:rPr>
      </w:pPr>
      <w:r w:rsidRPr="006F6326">
        <w:rPr>
          <w:rFonts w:ascii="Arial" w:hAnsi="Arial" w:cs="Arial"/>
          <w:b/>
        </w:rPr>
        <w:t xml:space="preserve">Key or </w:t>
      </w:r>
      <w:r>
        <w:rPr>
          <w:rFonts w:ascii="Arial" w:hAnsi="Arial" w:cs="Arial"/>
          <w:b/>
        </w:rPr>
        <w:t>Non</w:t>
      </w:r>
      <w:r w:rsidRPr="006F6326">
        <w:rPr>
          <w:rFonts w:ascii="Arial" w:hAnsi="Arial" w:cs="Arial"/>
          <w:b/>
        </w:rPr>
        <w:t xml:space="preserve"> Key</w:t>
      </w:r>
      <w:r>
        <w:rPr>
          <w:rFonts w:ascii="Arial" w:hAnsi="Arial" w:cs="Arial"/>
          <w:b/>
        </w:rPr>
        <w:t xml:space="preserve"> Decision</w:t>
      </w:r>
    </w:p>
    <w:p w:rsidR="005C6416" w:rsidRDefault="005C6416" w:rsidP="005C6416">
      <w:pPr>
        <w:rPr>
          <w:rFonts w:ascii="Arial" w:hAnsi="Arial" w:cs="Arial"/>
          <w:b/>
        </w:rPr>
      </w:pPr>
    </w:p>
    <w:p w:rsidR="005C6416" w:rsidRPr="004B1944" w:rsidRDefault="005C6416" w:rsidP="004B1944">
      <w:pPr>
        <w:rPr>
          <w:rFonts w:ascii="Arial" w:hAnsi="Arial" w:cs="Arial"/>
        </w:rPr>
      </w:pPr>
      <w:r w:rsidRPr="004B1944">
        <w:rPr>
          <w:rFonts w:ascii="Arial" w:hAnsi="Arial" w:cs="Arial"/>
        </w:rPr>
        <w:t>A key decision is an executive decision likely to have a significant effect on people living or working in at least two wards; or to in</w:t>
      </w:r>
      <w:r w:rsidR="00B928EF">
        <w:rPr>
          <w:rFonts w:ascii="Arial" w:hAnsi="Arial" w:cs="Arial"/>
        </w:rPr>
        <w:t>cur</w:t>
      </w:r>
      <w:r w:rsidRPr="004B1944">
        <w:rPr>
          <w:rFonts w:ascii="Arial" w:hAnsi="Arial" w:cs="Arial"/>
        </w:rPr>
        <w:t xml:space="preserve"> spending or saving</w:t>
      </w:r>
      <w:r w:rsidR="00B928EF">
        <w:rPr>
          <w:rFonts w:ascii="Arial" w:hAnsi="Arial" w:cs="Arial"/>
        </w:rPr>
        <w:t>s of</w:t>
      </w:r>
      <w:r w:rsidRPr="004B1944">
        <w:rPr>
          <w:rFonts w:ascii="Arial" w:hAnsi="Arial" w:cs="Arial"/>
        </w:rPr>
        <w:t xml:space="preserve"> £500,000 or more.</w:t>
      </w:r>
    </w:p>
    <w:p w:rsidR="005C6416" w:rsidRPr="00B15340" w:rsidRDefault="005C6416" w:rsidP="00804BF2">
      <w:pPr>
        <w:ind w:left="426" w:hanging="426"/>
        <w:rPr>
          <w:rFonts w:ascii="Arial" w:hAnsi="Arial" w:cs="Arial"/>
        </w:rPr>
      </w:pPr>
    </w:p>
    <w:p w:rsidR="005C6416" w:rsidRPr="00B15340" w:rsidRDefault="005C6416" w:rsidP="005C6416">
      <w:pPr>
        <w:rPr>
          <w:rFonts w:ascii="Arial" w:hAnsi="Arial" w:cs="Arial"/>
        </w:rPr>
      </w:pPr>
      <w:r w:rsidRPr="004B1944">
        <w:rPr>
          <w:rFonts w:ascii="Arial" w:hAnsi="Arial" w:cs="Arial"/>
        </w:rPr>
        <w:t>A key decision can only be taken and recorded here if notice of it has been published in the Forward Plan for at least 28 clear days.</w:t>
      </w:r>
      <w:r w:rsidR="00834D72">
        <w:rPr>
          <w:rFonts w:ascii="Arial" w:hAnsi="Arial" w:cs="Arial"/>
        </w:rPr>
        <w:t xml:space="preserve"> Key decisions taken by officers may be “called in” by any four councillors or the Chair of the Scrutiny Committee within two days of the notice of decision being published.</w:t>
      </w:r>
      <w:r w:rsidRPr="005C6416">
        <w:rPr>
          <w:rFonts w:ascii="Arial" w:hAnsi="Arial" w:cs="Arial"/>
        </w:rPr>
        <w:tab/>
      </w:r>
    </w:p>
    <w:sectPr w:rsidR="005C6416" w:rsidRPr="00B15340"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Default="00C6130E" w:rsidP="00F11FD1">
    <w:pPr>
      <w:pStyle w:val="Footer"/>
      <w:jc w:val="center"/>
      <w:rPr>
        <w:rFonts w:ascii="Arial" w:hAnsi="Arial" w:cs="Arial"/>
        <w:b/>
      </w:rPr>
    </w:pPr>
  </w:p>
  <w:p w:rsidR="00F11FD1" w:rsidRDefault="00F11FD1" w:rsidP="00F11FD1">
    <w:pPr>
      <w:pStyle w:val="Footer"/>
      <w:jc w:val="center"/>
      <w:rPr>
        <w:rFonts w:ascii="Arial" w:hAnsi="Arial" w:cs="Arial"/>
        <w:b/>
      </w:rPr>
    </w:pPr>
    <w:r w:rsidRPr="00F11FD1">
      <w:rPr>
        <w:rFonts w:ascii="Arial" w:hAnsi="Arial" w:cs="Arial"/>
        <w:b/>
      </w:rPr>
      <w:t xml:space="preserve">Please send </w:t>
    </w:r>
    <w:r w:rsidR="003505E0">
      <w:rPr>
        <w:rFonts w:ascii="Arial" w:hAnsi="Arial" w:cs="Arial"/>
        <w:b/>
      </w:rPr>
      <w:t xml:space="preserve">the </w:t>
    </w:r>
    <w:r w:rsidRPr="00F11FD1">
      <w:rPr>
        <w:rFonts w:ascii="Arial" w:hAnsi="Arial" w:cs="Arial"/>
        <w:b/>
      </w:rPr>
      <w:t>completed form to</w:t>
    </w:r>
    <w:r w:rsidR="006F6731">
      <w:rPr>
        <w:rFonts w:ascii="Arial" w:hAnsi="Arial" w:cs="Arial"/>
        <w:b/>
      </w:rPr>
      <w:t xml:space="preserve"> </w:t>
    </w:r>
    <w:hyperlink r:id="rId1" w:history="1">
      <w:r w:rsidR="0005774E" w:rsidRPr="009345FC">
        <w:rPr>
          <w:rStyle w:val="Hyperlink"/>
          <w:rFonts w:ascii="Arial" w:hAnsi="Arial" w:cs="Arial"/>
          <w:b/>
        </w:rPr>
        <w:t>forwardplan@oxford.gov.uk</w:t>
      </w:r>
    </w:hyperlink>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 w:id="1">
    <w:p w:rsidR="00616F3F" w:rsidRDefault="00616F3F">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B4310"/>
    <w:rsid w:val="000F4239"/>
    <w:rsid w:val="00231385"/>
    <w:rsid w:val="002579D2"/>
    <w:rsid w:val="002611EB"/>
    <w:rsid w:val="00263039"/>
    <w:rsid w:val="002A07C9"/>
    <w:rsid w:val="002B53D4"/>
    <w:rsid w:val="002E01CA"/>
    <w:rsid w:val="002E61DD"/>
    <w:rsid w:val="00335A9B"/>
    <w:rsid w:val="00337727"/>
    <w:rsid w:val="003505E0"/>
    <w:rsid w:val="003547CD"/>
    <w:rsid w:val="00373F5D"/>
    <w:rsid w:val="00393695"/>
    <w:rsid w:val="003B1236"/>
    <w:rsid w:val="004000D7"/>
    <w:rsid w:val="00405321"/>
    <w:rsid w:val="00424A92"/>
    <w:rsid w:val="004A049B"/>
    <w:rsid w:val="004B1944"/>
    <w:rsid w:val="00504E43"/>
    <w:rsid w:val="00532DF2"/>
    <w:rsid w:val="00595412"/>
    <w:rsid w:val="005A0076"/>
    <w:rsid w:val="005C6416"/>
    <w:rsid w:val="005E0CBC"/>
    <w:rsid w:val="005E37E4"/>
    <w:rsid w:val="00616F3F"/>
    <w:rsid w:val="006247C4"/>
    <w:rsid w:val="0063573D"/>
    <w:rsid w:val="006F200C"/>
    <w:rsid w:val="006F6326"/>
    <w:rsid w:val="006F6731"/>
    <w:rsid w:val="007908F4"/>
    <w:rsid w:val="007D270E"/>
    <w:rsid w:val="00801BEB"/>
    <w:rsid w:val="00804BF2"/>
    <w:rsid w:val="008201E4"/>
    <w:rsid w:val="00834D72"/>
    <w:rsid w:val="00844D21"/>
    <w:rsid w:val="00854133"/>
    <w:rsid w:val="008613FB"/>
    <w:rsid w:val="008676E5"/>
    <w:rsid w:val="00871016"/>
    <w:rsid w:val="008900A7"/>
    <w:rsid w:val="00891B19"/>
    <w:rsid w:val="008A22C6"/>
    <w:rsid w:val="008E4629"/>
    <w:rsid w:val="00986C99"/>
    <w:rsid w:val="009F048F"/>
    <w:rsid w:val="009F6401"/>
    <w:rsid w:val="00A12928"/>
    <w:rsid w:val="00A513BB"/>
    <w:rsid w:val="00A96C08"/>
    <w:rsid w:val="00AA2BA0"/>
    <w:rsid w:val="00AC5899"/>
    <w:rsid w:val="00AC7FDA"/>
    <w:rsid w:val="00B15340"/>
    <w:rsid w:val="00B30D53"/>
    <w:rsid w:val="00B87695"/>
    <w:rsid w:val="00B928EF"/>
    <w:rsid w:val="00BD4490"/>
    <w:rsid w:val="00BE1FD4"/>
    <w:rsid w:val="00BF240D"/>
    <w:rsid w:val="00BF353B"/>
    <w:rsid w:val="00C07F80"/>
    <w:rsid w:val="00C251F7"/>
    <w:rsid w:val="00C6130E"/>
    <w:rsid w:val="00C678ED"/>
    <w:rsid w:val="00CB5E4F"/>
    <w:rsid w:val="00CD4BC9"/>
    <w:rsid w:val="00CE6085"/>
    <w:rsid w:val="00D33F83"/>
    <w:rsid w:val="00D543D9"/>
    <w:rsid w:val="00D91724"/>
    <w:rsid w:val="00DB01D4"/>
    <w:rsid w:val="00DC2E8D"/>
    <w:rsid w:val="00DD1A34"/>
    <w:rsid w:val="00DD4885"/>
    <w:rsid w:val="00DD51B2"/>
    <w:rsid w:val="00E127E3"/>
    <w:rsid w:val="00E20A54"/>
    <w:rsid w:val="00E270E5"/>
    <w:rsid w:val="00E74AA5"/>
    <w:rsid w:val="00E97F84"/>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3672576">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wardplan@oxfor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wardplan@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3932-6332-4009-851B-497256C1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F8C1AB77</Template>
  <TotalTime>1</TotalTime>
  <Pages>5</Pages>
  <Words>1640</Words>
  <Characters>9352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MITCHELL John</cp:lastModifiedBy>
  <cp:revision>2</cp:revision>
  <cp:lastPrinted>2015-07-27T09:35:00Z</cp:lastPrinted>
  <dcterms:created xsi:type="dcterms:W3CDTF">2021-06-24T10:18:00Z</dcterms:created>
  <dcterms:modified xsi:type="dcterms:W3CDTF">2021-06-24T10:18:00Z</dcterms:modified>
</cp:coreProperties>
</file>